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F9014" w14:textId="77777777" w:rsidR="004270F1" w:rsidRDefault="00000000">
      <w:pPr>
        <w:bidi/>
        <w:spacing w:after="60" w:line="340" w:lineRule="auto"/>
        <w:jc w:val="center"/>
      </w:pPr>
      <w:r>
        <w:rPr>
          <w:b/>
          <w:bCs/>
          <w:sz w:val="30"/>
          <w:szCs w:val="30"/>
          <w:rtl/>
        </w:rPr>
        <w:t>مفصل‌بندی گفتمانی و شکاف راهبردی در سیاست خارجی جمهوری اسلامی ایران:</w:t>
      </w:r>
    </w:p>
    <w:p w14:paraId="55C7249C" w14:textId="77777777" w:rsidR="004270F1" w:rsidRDefault="00000000">
      <w:pPr>
        <w:bidi/>
        <w:spacing w:after="60" w:line="340" w:lineRule="auto"/>
        <w:jc w:val="center"/>
      </w:pPr>
      <w:r>
        <w:rPr>
          <w:b/>
          <w:bCs/>
          <w:sz w:val="30"/>
          <w:szCs w:val="30"/>
          <w:rtl/>
        </w:rPr>
        <w:t>تحلیل گفتمان سخنرانی‌های رئیس‌جمهور دولت سیزدهم در مجمع عمومی سازمان ملل متحد (۲۰۲۱ و ۲۰۲۲)</w:t>
      </w:r>
    </w:p>
    <w:p w14:paraId="53D455B4" w14:textId="77777777" w:rsidR="004270F1" w:rsidRDefault="00000000">
      <w:pPr>
        <w:spacing w:after="200"/>
        <w:jc w:val="center"/>
      </w:pPr>
      <w:r>
        <w:rPr>
          <w:rFonts w:ascii="Times New Roman" w:eastAsia="Times New Roman" w:hAnsi="Times New Roman" w:cs="Times New Roman"/>
          <w:b/>
          <w:bCs/>
          <w:i/>
          <w:iCs/>
        </w:rPr>
        <w:t>Discursive Articulation and the Strategic Gap in the Foreign Policy of the Islamic Republic of Iran: A Discourse Analysis of the Thirteenth Government's Addresses to the United Nations General Assembly (2021 and 2022)</w:t>
      </w:r>
    </w:p>
    <w:p w14:paraId="13E8BCD9" w14:textId="1B3550B7" w:rsidR="004270F1" w:rsidRDefault="00000000" w:rsidP="000A62B3">
      <w:pPr>
        <w:bidi/>
        <w:spacing w:after="40"/>
        <w:jc w:val="center"/>
      </w:pPr>
      <w:r>
        <w:rPr>
          <w:sz w:val="20"/>
          <w:szCs w:val="20"/>
          <w:rtl/>
        </w:rPr>
        <w:t>غلامرضا کریمی</w:t>
      </w:r>
      <w:r w:rsidR="000A62B3">
        <w:rPr>
          <w:rStyle w:val="FootnoteReference"/>
          <w:sz w:val="20"/>
          <w:szCs w:val="20"/>
          <w:rtl/>
        </w:rPr>
        <w:footnoteReference w:id="1"/>
      </w:r>
    </w:p>
    <w:p w14:paraId="62A19E3B" w14:textId="5BCB3C2D" w:rsidR="004270F1" w:rsidRDefault="00000000">
      <w:pPr>
        <w:bidi/>
        <w:spacing w:after="40"/>
        <w:jc w:val="center"/>
      </w:pPr>
      <w:r>
        <w:rPr>
          <w:sz w:val="20"/>
          <w:szCs w:val="20"/>
          <w:rtl/>
        </w:rPr>
        <w:t>ساجده‌السادات جعفری</w:t>
      </w:r>
      <w:r w:rsidR="000A62B3">
        <w:rPr>
          <w:rStyle w:val="FootnoteReference"/>
          <w:sz w:val="20"/>
          <w:szCs w:val="20"/>
          <w:rtl/>
        </w:rPr>
        <w:footnoteReference w:id="2"/>
      </w:r>
    </w:p>
    <w:p w14:paraId="6D402F9F" w14:textId="61D8542D" w:rsidR="004270F1" w:rsidRDefault="004270F1" w:rsidP="000A62B3">
      <w:pPr>
        <w:bidi/>
        <w:spacing w:after="40"/>
      </w:pPr>
    </w:p>
    <w:p w14:paraId="526FE012" w14:textId="77777777" w:rsidR="004270F1" w:rsidRDefault="00000000">
      <w:pPr>
        <w:bidi/>
        <w:spacing w:after="100"/>
      </w:pPr>
      <w:r>
        <w:rPr>
          <w:b/>
          <w:bCs/>
          <w:sz w:val="24"/>
          <w:szCs w:val="24"/>
          <w:rtl/>
        </w:rPr>
        <w:t>چکیده</w:t>
      </w:r>
    </w:p>
    <w:p w14:paraId="28F3EF60" w14:textId="77777777" w:rsidR="004270F1" w:rsidRDefault="00000000">
      <w:pPr>
        <w:bidi/>
        <w:spacing w:after="120"/>
        <w:ind w:firstLine="360"/>
        <w:jc w:val="both"/>
      </w:pPr>
      <w:r>
        <w:rPr>
          <w:rtl/>
        </w:rPr>
        <w:t>هدف این پژوهش، تبیین سازوکار شکل‌گیری فاصله میان مفصل‌بندی گفتمانی و جهت‌گیری راهبردی در سیاست خارجی جمهوری اسلامی ایران است. مسئله از این پرسش آغاز می‌شود که چرا نظام معنایی واحدی که در گفتمان رسمی سیاست خارجی صورت‌بندی می‌شود، در حوزه‌های موضوعی مختلف به درجات یکسانی از انسجام راهبردی نمی‌انجامد. رویکرد پژوهش کیفی و تفسیری، و روش آن تحلیل گفتمان مبتنی بر نظریه لاکلائو و موفه است. داده‌های اصلی، دو سند رسمی سازمان ملل متحد شامل سخنرانی رئیس‌جمهور جمهوری اسلامی ایران در هفتادوششمین (A/76/PV.3) و هفتادوهفتمین (A/77/PV.6) نشست مجمع عمومی است که با اسناد مکمل سیاست خارجی دولت سیزدهم در دو حوزه همسایگی و پرونده هسته‌ای مقابله شده‌اند. یافته‌ها نشان می‌دهد گفتمان رسمی دولت سیزدهم بر یک زنجیره هم‌ارزی منسجم استوار است که «عدالت» در آن کارکرد دال تهی را ایفا می‌کند و مرز خصمانه آن بر پایه غیریت‌سازی با «سلطه» ترسیم می‌شود. با این حال، ظرفیت تبدیل این مفصل‌بندی به راهبرد در دو حوزه مورد بررسی به‌طور محسوسی متفاوت است. مقاله استدلال می‌کند که این تفاوت تابع یک متغیر مشخص است: میزان وابستگی تحقق هر حوزه به کنش متقابل بازیگر خصم. در حوزه همسایگی، که غیریت اصلی گفتمان در آن حضور مستقیم ندارد، زنجیره معنایی بدون تعارض درونی به راهبرد ترجمه می‌شود؛ اما در حوزه هسته‌ای، تحقق زنجیره مستلزم توافق با همان بازیگری است که سازنده مرز خصمانه گفتمان است، و این امر یک بی‌قراری ساختاری تولید می‌کند. بر این اساس، «وضعیت بیناگفتمانی» نه فقدان هویت یا فقدان گفتمان، بلکه حالتی از تثبیت ناقص هژمونیک تعریف می‌شود که در آن مفصل‌بندی معنایی برقرار است اما به دلیل تعارض میان منطق هم‌ارزی و الزامات کنش، به منطق راهبردی واحد تبدیل نمی‌شود.</w:t>
      </w:r>
    </w:p>
    <w:p w14:paraId="313311BD" w14:textId="77777777" w:rsidR="004270F1" w:rsidRDefault="00000000">
      <w:pPr>
        <w:bidi/>
        <w:spacing w:after="100"/>
      </w:pPr>
      <w:r>
        <w:rPr>
          <w:b/>
          <w:bCs/>
          <w:sz w:val="24"/>
          <w:szCs w:val="24"/>
          <w:rtl/>
        </w:rPr>
        <w:t>واژگان کلیدی</w:t>
      </w:r>
    </w:p>
    <w:p w14:paraId="0F3C4DAA" w14:textId="77777777" w:rsidR="004270F1" w:rsidRDefault="00000000">
      <w:pPr>
        <w:bidi/>
        <w:spacing w:after="120"/>
        <w:ind w:firstLine="360"/>
        <w:jc w:val="both"/>
      </w:pPr>
      <w:r>
        <w:rPr>
          <w:rtl/>
        </w:rPr>
        <w:t>سیاست خارجی جمهوری اسلامی ایران؛ دولت سیزدهم؛ تحلیل گفتمان؛ لاکلائو و موفه؛ مفصل‌بندی؛ سیاست همسایگی؛ پرونده هسته‌ای.</w:t>
      </w:r>
    </w:p>
    <w:p w14:paraId="177C299C" w14:textId="77777777" w:rsidR="004270F1" w:rsidRDefault="00000000">
      <w:pPr>
        <w:spacing w:after="100"/>
      </w:pPr>
      <w:r>
        <w:rPr>
          <w:rFonts w:ascii="Times New Roman" w:eastAsia="Times New Roman" w:hAnsi="Times New Roman" w:cs="Times New Roman"/>
          <w:b/>
          <w:bCs/>
          <w:sz w:val="24"/>
          <w:szCs w:val="24"/>
        </w:rPr>
        <w:t>Abstract</w:t>
      </w:r>
    </w:p>
    <w:p w14:paraId="1154F7A7" w14:textId="77777777" w:rsidR="004270F1" w:rsidRDefault="00000000">
      <w:pPr>
        <w:spacing w:after="60"/>
        <w:ind w:left="431" w:hanging="431"/>
      </w:pPr>
      <w:r>
        <w:rPr>
          <w:rFonts w:ascii="Times New Roman" w:eastAsia="Times New Roman" w:hAnsi="Times New Roman" w:cs="Times New Roman"/>
          <w:sz w:val="21"/>
          <w:szCs w:val="21"/>
        </w:rPr>
        <w:t xml:space="preserve">This study explains the mechanism through which a gap emerges between discursive articulation and strategic orientation in the foreign policy of the Islamic Republic of Iran. The research question asks why a single meaning system articulated in official foreign policy discourse does not translate into equal degrees of </w:t>
      </w:r>
      <w:r>
        <w:rPr>
          <w:rFonts w:ascii="Times New Roman" w:eastAsia="Times New Roman" w:hAnsi="Times New Roman" w:cs="Times New Roman"/>
          <w:sz w:val="21"/>
          <w:szCs w:val="21"/>
        </w:rPr>
        <w:lastRenderedPageBreak/>
        <w:t xml:space="preserve">strategic coherence across different issue areas. The study adopts a qualitative and interpretive approach and employs discourse analysis based on the theory of </w:t>
      </w:r>
      <w:proofErr w:type="spellStart"/>
      <w:r>
        <w:rPr>
          <w:rFonts w:ascii="Times New Roman" w:eastAsia="Times New Roman" w:hAnsi="Times New Roman" w:cs="Times New Roman"/>
          <w:sz w:val="21"/>
          <w:szCs w:val="21"/>
        </w:rPr>
        <w:t>Laclau</w:t>
      </w:r>
      <w:proofErr w:type="spellEnd"/>
      <w:r>
        <w:rPr>
          <w:rFonts w:ascii="Times New Roman" w:eastAsia="Times New Roman" w:hAnsi="Times New Roman" w:cs="Times New Roman"/>
          <w:sz w:val="21"/>
          <w:szCs w:val="21"/>
        </w:rPr>
        <w:t xml:space="preserve"> and </w:t>
      </w:r>
      <w:proofErr w:type="spellStart"/>
      <w:r>
        <w:rPr>
          <w:rFonts w:ascii="Times New Roman" w:eastAsia="Times New Roman" w:hAnsi="Times New Roman" w:cs="Times New Roman"/>
          <w:sz w:val="21"/>
          <w:szCs w:val="21"/>
        </w:rPr>
        <w:t>Mouffe</w:t>
      </w:r>
      <w:proofErr w:type="spellEnd"/>
      <w:r>
        <w:rPr>
          <w:rFonts w:ascii="Times New Roman" w:eastAsia="Times New Roman" w:hAnsi="Times New Roman" w:cs="Times New Roman"/>
          <w:sz w:val="21"/>
          <w:szCs w:val="21"/>
        </w:rPr>
        <w:t xml:space="preserve">. The primary data consist of two official United Nations documents: the addresses delivered by the President of the Islamic Republic of Iran to the seventy-sixth (A/76/PV.3) and seventy-seventh (A/77/PV.6) sessions of the General Assembly, triangulated with supplementary policy documents concerning the </w:t>
      </w:r>
      <w:proofErr w:type="spellStart"/>
      <w:r>
        <w:rPr>
          <w:rFonts w:ascii="Times New Roman" w:eastAsia="Times New Roman" w:hAnsi="Times New Roman" w:cs="Times New Roman"/>
          <w:sz w:val="21"/>
          <w:szCs w:val="21"/>
        </w:rPr>
        <w:t>neighbourhood</w:t>
      </w:r>
      <w:proofErr w:type="spellEnd"/>
      <w:r>
        <w:rPr>
          <w:rFonts w:ascii="Times New Roman" w:eastAsia="Times New Roman" w:hAnsi="Times New Roman" w:cs="Times New Roman"/>
          <w:sz w:val="21"/>
          <w:szCs w:val="21"/>
        </w:rPr>
        <w:t xml:space="preserve"> policy and the nuclear file. The findings show that the official discourse of the Thirteenth Government rests on a coherent chain of equivalence in which "justice" functions as an empty signifier, while its antagonistic frontier is constructed through othering against "domination." Nevertheless, the capacity to translate this articulation into strategy differs markedly between the two issue areas examined. The article argues that this variation is a function of a specific variable: the degree to which the </w:t>
      </w:r>
      <w:proofErr w:type="spellStart"/>
      <w:r>
        <w:rPr>
          <w:rFonts w:ascii="Times New Roman" w:eastAsia="Times New Roman" w:hAnsi="Times New Roman" w:cs="Times New Roman"/>
          <w:sz w:val="21"/>
          <w:szCs w:val="21"/>
        </w:rPr>
        <w:t>realisation</w:t>
      </w:r>
      <w:proofErr w:type="spellEnd"/>
      <w:r>
        <w:rPr>
          <w:rFonts w:ascii="Times New Roman" w:eastAsia="Times New Roman" w:hAnsi="Times New Roman" w:cs="Times New Roman"/>
          <w:sz w:val="21"/>
          <w:szCs w:val="21"/>
        </w:rPr>
        <w:t xml:space="preserve"> of each issue area depends on the reciprocal action of the antagonistic actor. In the </w:t>
      </w:r>
      <w:proofErr w:type="spellStart"/>
      <w:r>
        <w:rPr>
          <w:rFonts w:ascii="Times New Roman" w:eastAsia="Times New Roman" w:hAnsi="Times New Roman" w:cs="Times New Roman"/>
          <w:sz w:val="21"/>
          <w:szCs w:val="21"/>
        </w:rPr>
        <w:t>neighbourhood</w:t>
      </w:r>
      <w:proofErr w:type="spellEnd"/>
      <w:r>
        <w:rPr>
          <w:rFonts w:ascii="Times New Roman" w:eastAsia="Times New Roman" w:hAnsi="Times New Roman" w:cs="Times New Roman"/>
          <w:sz w:val="21"/>
          <w:szCs w:val="21"/>
        </w:rPr>
        <w:t xml:space="preserve"> domain, where the constitutive Other is not directly present, the chain of equivalence is translated into strategy without internal contradiction. In the nuclear domain, however, </w:t>
      </w:r>
      <w:proofErr w:type="spellStart"/>
      <w:r>
        <w:rPr>
          <w:rFonts w:ascii="Times New Roman" w:eastAsia="Times New Roman" w:hAnsi="Times New Roman" w:cs="Times New Roman"/>
          <w:sz w:val="21"/>
          <w:szCs w:val="21"/>
        </w:rPr>
        <w:t>realisation</w:t>
      </w:r>
      <w:proofErr w:type="spellEnd"/>
      <w:r>
        <w:rPr>
          <w:rFonts w:ascii="Times New Roman" w:eastAsia="Times New Roman" w:hAnsi="Times New Roman" w:cs="Times New Roman"/>
          <w:sz w:val="21"/>
          <w:szCs w:val="21"/>
        </w:rPr>
        <w:t xml:space="preserve"> requires agreement with the very actor that constitutes the discourse's antagonistic frontier, generating a structural dislocation. Accordingly, the "inter-discursive condition" is defined not as an absence of identity or discourse, but as a state of incomplete hegemonic fixation.</w:t>
      </w:r>
    </w:p>
    <w:p w14:paraId="03AD7B11" w14:textId="77777777" w:rsidR="004270F1" w:rsidRDefault="00000000">
      <w:pPr>
        <w:spacing w:after="100"/>
      </w:pPr>
      <w:r>
        <w:rPr>
          <w:rFonts w:ascii="Times New Roman" w:eastAsia="Times New Roman" w:hAnsi="Times New Roman" w:cs="Times New Roman"/>
          <w:b/>
          <w:bCs/>
          <w:sz w:val="24"/>
          <w:szCs w:val="24"/>
        </w:rPr>
        <w:t>Keywords</w:t>
      </w:r>
    </w:p>
    <w:p w14:paraId="3156F3E6" w14:textId="77777777" w:rsidR="004270F1" w:rsidRDefault="00000000">
      <w:pPr>
        <w:spacing w:after="60"/>
        <w:ind w:left="431" w:hanging="431"/>
      </w:pPr>
      <w:r>
        <w:rPr>
          <w:rFonts w:ascii="Times New Roman" w:eastAsia="Times New Roman" w:hAnsi="Times New Roman" w:cs="Times New Roman"/>
          <w:sz w:val="21"/>
          <w:szCs w:val="21"/>
        </w:rPr>
        <w:t xml:space="preserve">Foreign Policy of the Islamic Republic of Iran; Thirteenth Government; Discourse Analysis; </w:t>
      </w:r>
      <w:proofErr w:type="spellStart"/>
      <w:r>
        <w:rPr>
          <w:rFonts w:ascii="Times New Roman" w:eastAsia="Times New Roman" w:hAnsi="Times New Roman" w:cs="Times New Roman"/>
          <w:sz w:val="21"/>
          <w:szCs w:val="21"/>
        </w:rPr>
        <w:t>Laclau</w:t>
      </w:r>
      <w:proofErr w:type="spellEnd"/>
      <w:r>
        <w:rPr>
          <w:rFonts w:ascii="Times New Roman" w:eastAsia="Times New Roman" w:hAnsi="Times New Roman" w:cs="Times New Roman"/>
          <w:sz w:val="21"/>
          <w:szCs w:val="21"/>
        </w:rPr>
        <w:t xml:space="preserve"> and </w:t>
      </w:r>
      <w:proofErr w:type="spellStart"/>
      <w:r>
        <w:rPr>
          <w:rFonts w:ascii="Times New Roman" w:eastAsia="Times New Roman" w:hAnsi="Times New Roman" w:cs="Times New Roman"/>
          <w:sz w:val="21"/>
          <w:szCs w:val="21"/>
        </w:rPr>
        <w:t>Mouffe</w:t>
      </w:r>
      <w:proofErr w:type="spellEnd"/>
      <w:r>
        <w:rPr>
          <w:rFonts w:ascii="Times New Roman" w:eastAsia="Times New Roman" w:hAnsi="Times New Roman" w:cs="Times New Roman"/>
          <w:sz w:val="21"/>
          <w:szCs w:val="21"/>
        </w:rPr>
        <w:t xml:space="preserve">; Articulation; </w:t>
      </w:r>
      <w:proofErr w:type="spellStart"/>
      <w:r>
        <w:rPr>
          <w:rFonts w:ascii="Times New Roman" w:eastAsia="Times New Roman" w:hAnsi="Times New Roman" w:cs="Times New Roman"/>
          <w:sz w:val="21"/>
          <w:szCs w:val="21"/>
        </w:rPr>
        <w:t>Neighbourhood</w:t>
      </w:r>
      <w:proofErr w:type="spellEnd"/>
      <w:r>
        <w:rPr>
          <w:rFonts w:ascii="Times New Roman" w:eastAsia="Times New Roman" w:hAnsi="Times New Roman" w:cs="Times New Roman"/>
          <w:sz w:val="21"/>
          <w:szCs w:val="21"/>
        </w:rPr>
        <w:t xml:space="preserve"> Policy; Nuclear File.</w:t>
      </w:r>
    </w:p>
    <w:p w14:paraId="6FD78549" w14:textId="77777777" w:rsidR="004270F1" w:rsidRDefault="00000000">
      <w:pPr>
        <w:pStyle w:val="Heading1"/>
        <w:bidi/>
        <w:spacing w:before="320" w:after="140"/>
      </w:pPr>
      <w:r>
        <w:rPr>
          <w:b/>
          <w:bCs/>
          <w:color w:val="000000"/>
          <w:sz w:val="26"/>
          <w:szCs w:val="26"/>
          <w:rtl/>
        </w:rPr>
        <w:t>۱. مقدمه و طرح مسئله</w:t>
      </w:r>
    </w:p>
    <w:p w14:paraId="3A212D58" w14:textId="77777777" w:rsidR="004270F1" w:rsidRDefault="00000000">
      <w:pPr>
        <w:bidi/>
        <w:spacing w:after="120"/>
        <w:ind w:firstLine="360"/>
        <w:jc w:val="both"/>
      </w:pPr>
      <w:r>
        <w:rPr>
          <w:rtl/>
        </w:rPr>
        <w:t>مطالعه سیاست خارجی در روابط بین‌الملل معاصر با تحولی مهم در شیوه فهم رفتار دولت‌ها روبه‌رو شده است. رهیافت‌های سنتی، رفتار خارجی دولت‌ها را عمدتاً بر پایه توان مادی، جایگاه در ساختار توزیع قدرت و محاسبه عقلانی منافع توضیح می‌دادند. در مقابل، رهیافت‌های تفسیری نشان داده‌اند که منافع پیش از آنکه محاسبه شوند، باید تعریف شوند، و این تعریف در چارچوب نظام‌های معنایی مشخصی صورت می‌گیرد که هویت کنشگر، تصویر او از محیط و مرزهای مشروعیت کنش را تعیین می‌کنند (Wendt, 1992; Doty, 1993; Hansen, 2006).</w:t>
      </w:r>
    </w:p>
    <w:p w14:paraId="25D54B22" w14:textId="77777777" w:rsidR="004270F1" w:rsidRDefault="00000000">
      <w:pPr>
        <w:bidi/>
        <w:spacing w:after="120"/>
        <w:ind w:firstLine="360"/>
        <w:jc w:val="both"/>
      </w:pPr>
      <w:r>
        <w:rPr>
          <w:rtl/>
        </w:rPr>
        <w:t>این چرخش تفسیری، پرسش تازه‌ای را پیش می‌کشد که موضوع اصلی پژوهش حاضر است. اگر بپذیریم که سیاست خارجی درون یک نظام معنایی صورت‌بندی می‌شود، آنگاه باید توضیح داد که چرا یک نظام معنایی واحد در حوزه‌های موضوعی مختلف به نتایج راهبردی متفاوتی می‌انجامد. به بیان دیگر، حضور یک گفتمان منسجم، به‌خودی‌خود تضمین‌کننده انسجام راهبردی نیست. میان لحظه‌ای که عناصر معنایی در یک زنجیره سامان می‌یابند و لحظه‌ای که این زنجیره به مجموعه‌ای از اهداف، ابزارها و اقدامات مشخص ترجمه می‌شود، فاصله‌ای وجود دارد که تبیین آن نیازمند سازوکاری فراتر از توصیف محتوای گفتمان است.</w:t>
      </w:r>
    </w:p>
    <w:p w14:paraId="02B019BE" w14:textId="77777777" w:rsidR="004270F1" w:rsidRDefault="00000000">
      <w:pPr>
        <w:bidi/>
        <w:spacing w:after="120"/>
        <w:ind w:firstLine="360"/>
        <w:jc w:val="both"/>
      </w:pPr>
      <w:r>
        <w:rPr>
          <w:rtl/>
        </w:rPr>
        <w:t>سیاست خارجی جمهوری اسلامی ایران، مورد مناسبی برای صورت‌بندی این مسئله است. از یک سو، عناصر هویتی و ارزشی در تعریف اهداف سیاست خارجی این کشور جایگاهی محوری دارند و ادبیات گسترده‌ای این نقش را مستند کرده است (Ramazani, 2004; Adib-Moghaddam, 2008؛ دهقانی فیروزآبادی، ۱۳۹۰). از سوی دیگر، محیط منطقه‌ای و بین‌المللی ایران در دو دهه گذشته دستخوش تغییرات پرشتاب بوده و ادبیات مربوط به گذار نظم جهانی نشان می‌دهد که قواعد تعامل، سلسله‌مراتب قدرت و سازوکارهای مشروعیت‌بخشی در حال بازآرایی است (Acharya, 2014, 2017; Buzan &amp; Lawson, 2015; Ikenberry, 2018). ترکیب این دو ویژگی، شکافی را برجسته می‌کند که در ادبیات فارسی معمولاً با تعابیری همچون «فاصله آرمان و واقعیت» یا «دوگانه ایدئولوژی و عمل‌گرایی» توصیف شده است. مسئله این است که این تعابیر، بیش از آنکه تبیین باشند، بازتوصیف مسئله‌اند.</w:t>
      </w:r>
    </w:p>
    <w:p w14:paraId="38D83EF4" w14:textId="77777777" w:rsidR="004270F1" w:rsidRDefault="00000000">
      <w:pPr>
        <w:bidi/>
        <w:spacing w:after="120"/>
        <w:ind w:firstLine="360"/>
        <w:jc w:val="both"/>
      </w:pPr>
      <w:r>
        <w:rPr>
          <w:rtl/>
        </w:rPr>
        <w:lastRenderedPageBreak/>
        <w:t>پژوهش حاضر مدعی است که این دوگانه‌ها به دلیل یک خطای تحلیلی مشترک، ظرفیت تبیینی محدودی دارند: آن‌ها انسجام یا ناهمخوانی را ویژگی یکپارچه کل سیاست خارجی فرض می‌کنند، در حالی که شواهد نشان می‌دهد میزان انسجام میان معنا و کنش در حوزه‌های موضوعی مختلف یک دولت واحد و در یک بازه زمانی واحد، متفاوت است. اگر چنین باشد، پرسش درست این نیست که «آیا سیاست خارجی ایران آرمان‌گراست یا عمل‌گرا»، بلکه این است که «چه شرطی تعیین می‌کند یک زنجیره معنایی در یک حوزه به راهبرد ترجمه شود و در حوزه‌ای دیگر نشود».</w:t>
      </w:r>
    </w:p>
    <w:p w14:paraId="5AF3E192" w14:textId="77777777" w:rsidR="004270F1" w:rsidRDefault="00000000">
      <w:pPr>
        <w:bidi/>
        <w:spacing w:after="120"/>
        <w:ind w:firstLine="360"/>
        <w:jc w:val="both"/>
      </w:pPr>
      <w:r>
        <w:rPr>
          <w:rtl/>
        </w:rPr>
        <w:t>برای پاسخ به این پرسش، پژوهش حاضر دولت سیزدهم جمهوری اسلامی ایران (مرداد ۱۴۰۰ تا مرداد ۱۴۰۳) را به‌عنوان مورد مطالعه انتخاب کرده است. انتخاب این دولت سه دلیل دارد. نخست، این دولت گفتمان سیاست خارجی خود را از همان آغاز بر مجموعه‌ای نسبتاً صریح از دال‌ها بنا کرد و از این جهت، متون آن برای تحلیل گفتمانی دسترس‌پذیرتر از دوره‌هایی است که صورت‌بندی معنایی در آن‌ها مبهم‌تر بود. دوم، این دولت هم‌زمان دو حوزه سیاست خارجی را در اولویت قرار داد که از نظر ساختار کنش به‌طور بنیادی با یکدیگر تفاوت دارند: سیاست همسایگی و پرونده هسته‌ای. این هم‌زمانی، امکان یک مقایسه درون‌موردی را فراهم می‌کند که برای آزمودن گزاره پژوهش ضروری است. سوم، پایان یافتن این دوره امکان ارزیابی گذشته‌نگر پیامدهای عملی مفصل‌بندی گفتمانی را فراهم می‌سازد.</w:t>
      </w:r>
    </w:p>
    <w:p w14:paraId="59218118" w14:textId="77777777" w:rsidR="004270F1" w:rsidRDefault="00000000">
      <w:pPr>
        <w:bidi/>
        <w:spacing w:after="120"/>
        <w:ind w:firstLine="360"/>
        <w:jc w:val="both"/>
      </w:pPr>
      <w:r>
        <w:rPr>
          <w:rtl/>
        </w:rPr>
        <w:t>داده‌های اصلی پژوهش دو متن رسمی است: سخنرانی رئیس‌جمهور جمهوری اسلامی ایران در هفتادوششمین نشست مجمع عمومی سازمان ملل متحد (سند A/76/PV.3) و سخنرانی وی در هفتادوهفتمین نشست این مجمع (سند A/77/PV.6). دلیل انتخاب این دو متن، جایگاه ویژه ژانر سخنرانی مجمع عمومی است: این متون، معدود موقعیت‌هایی هستند که در آن‌ها یک دولت ناگزیر است تصویر خود از هویت خویش، از نظم بین‌المللی و از مناقشات جاری را در یک متن واحد، برای مخاطب جهانی و در قالبی رسمی و مستند صورت‌بندی کند. با این حال، همان‌گونه که در بخش روش‌شناسی توضیح داده خواهد شد، این ژانر محدودیت‌های خاص خود را نیز دارد و به همین دلیل، تحلیل با اسناد مکمل مقابله شده است.</w:t>
      </w:r>
    </w:p>
    <w:p w14:paraId="75625480" w14:textId="77777777" w:rsidR="004270F1" w:rsidRDefault="00000000">
      <w:pPr>
        <w:bidi/>
        <w:spacing w:after="120"/>
        <w:ind w:firstLine="360"/>
        <w:jc w:val="both"/>
      </w:pPr>
      <w:r>
        <w:rPr>
          <w:rtl/>
        </w:rPr>
        <w:t>بر این اساس، سؤال اصلی پژوهش چنین صورت‌بندی می‌شود:</w:t>
      </w:r>
    </w:p>
    <w:p w14:paraId="5850AA16" w14:textId="77777777" w:rsidR="004270F1" w:rsidRDefault="00000000">
      <w:pPr>
        <w:bidi/>
        <w:spacing w:after="160"/>
        <w:ind w:left="504" w:right="504"/>
        <w:jc w:val="both"/>
      </w:pPr>
      <w:r>
        <w:rPr>
          <w:i/>
          <w:iCs/>
          <w:sz w:val="21"/>
          <w:szCs w:val="21"/>
          <w:rtl/>
        </w:rPr>
        <w:t>عناصر هویتی و معنایی سیاست خارجی جمهوری اسلامی ایران در گفتمان رسمی دولت سیزدهم چگونه مفصل‌بندی شده‌اند، و چه سازوکاری تعیین می‌کند که این مفصل‌بندی در حوزه همسایگی و حوزه هسته‌ای به درجات متفاوتی از انسجام راهبردی بینجامد؟</w:t>
      </w:r>
    </w:p>
    <w:p w14:paraId="2999E3F0" w14:textId="77777777" w:rsidR="004270F1" w:rsidRDefault="00000000">
      <w:pPr>
        <w:bidi/>
        <w:spacing w:after="120"/>
        <w:ind w:firstLine="360"/>
        <w:jc w:val="both"/>
      </w:pPr>
      <w:r>
        <w:rPr>
          <w:rtl/>
        </w:rPr>
        <w:t>سؤالات فرعی پژوهش عبارت‌اند از:</w:t>
      </w:r>
    </w:p>
    <w:p w14:paraId="0FCA2EC7" w14:textId="77777777" w:rsidR="004270F1" w:rsidRDefault="00000000">
      <w:pPr>
        <w:pStyle w:val="ListParagraph"/>
        <w:numPr>
          <w:ilvl w:val="0"/>
          <w:numId w:val="1"/>
        </w:numPr>
        <w:bidi/>
        <w:spacing w:after="80"/>
        <w:ind w:right="431"/>
        <w:jc w:val="both"/>
      </w:pPr>
      <w:r>
        <w:rPr>
          <w:rtl/>
        </w:rPr>
        <w:t>نخست، «خود» و «دیگری» در گفتمان رسمی دولت سیزدهم چگونه ساخته می‌شوند و مرز خصمانه این گفتمان بر چه مبنایی ترسیم می‌شود؟</w:t>
      </w:r>
    </w:p>
    <w:p w14:paraId="5A7151CC" w14:textId="77777777" w:rsidR="004270F1" w:rsidRDefault="00000000">
      <w:pPr>
        <w:pStyle w:val="ListParagraph"/>
        <w:numPr>
          <w:ilvl w:val="0"/>
          <w:numId w:val="1"/>
        </w:numPr>
        <w:bidi/>
        <w:spacing w:after="80"/>
        <w:ind w:right="431"/>
        <w:jc w:val="both"/>
      </w:pPr>
      <w:r>
        <w:rPr>
          <w:rtl/>
        </w:rPr>
        <w:t>دوم، کدام دال کارکرد سازمان‌دهنده زنجیره هم‌ارزی را بر عهده دارد و این کارکرد چگونه در دو متن مورد بررسی تثبیت یا جابه‌جا می‌شود؟</w:t>
      </w:r>
    </w:p>
    <w:p w14:paraId="485BE037" w14:textId="77777777" w:rsidR="004270F1" w:rsidRDefault="00000000">
      <w:pPr>
        <w:pStyle w:val="ListParagraph"/>
        <w:numPr>
          <w:ilvl w:val="0"/>
          <w:numId w:val="1"/>
        </w:numPr>
        <w:bidi/>
        <w:spacing w:after="80"/>
        <w:ind w:right="431"/>
        <w:jc w:val="both"/>
      </w:pPr>
      <w:r>
        <w:rPr>
          <w:rtl/>
        </w:rPr>
        <w:t>سوم، زنجیره‌های معنایی حوزه همسایگی و حوزه هسته‌ای چه تفاوت ساختاری با یکدیگر دارند و این تفاوت چه پیامدی برای امکان ترجمه معنا به راهبرد دارد؟</w:t>
      </w:r>
    </w:p>
    <w:p w14:paraId="07B58769" w14:textId="77777777" w:rsidR="004270F1" w:rsidRDefault="00000000">
      <w:pPr>
        <w:pStyle w:val="ListParagraph"/>
        <w:numPr>
          <w:ilvl w:val="0"/>
          <w:numId w:val="1"/>
        </w:numPr>
        <w:bidi/>
        <w:spacing w:after="80"/>
        <w:ind w:right="431"/>
        <w:jc w:val="both"/>
      </w:pPr>
      <w:r>
        <w:rPr>
          <w:rtl/>
        </w:rPr>
        <w:t>چهارم، الزامات صورت‌بندی یک مفصل‌بندی فراگیرتر، با توجه به سازوکار شناسایی‌شده، چیست؟</w:t>
      </w:r>
    </w:p>
    <w:p w14:paraId="5A186A0F" w14:textId="77777777" w:rsidR="004270F1" w:rsidRDefault="00000000">
      <w:pPr>
        <w:bidi/>
        <w:spacing w:after="120"/>
        <w:ind w:firstLine="360"/>
        <w:jc w:val="both"/>
      </w:pPr>
      <w:r>
        <w:rPr>
          <w:rtl/>
        </w:rPr>
        <w:t xml:space="preserve">ساختار مقاله بدین شرح است: پس از بررسی انتقادی پیشینه و تصریح خلأ پژوهشی، چارچوب نظری بر پایه نظریه گفتمان لاکلائو و موفه تدوین می‌شود و جایگاه مفهوم «وضعیت بیناگفتمانی» در نسبت با مفاهیم موجود این نظریه و در تمایز از کاربرد رایج اصطلاح interdiscursivity روشن می‌گردد. سپس مدل تحلیلی و گزاره پژوهش ارائه، و روش‌شناسی به‌تفصیل تشریح می‌شود. بخش یافته‌ها، تحلیل دو متن را </w:t>
      </w:r>
      <w:r>
        <w:rPr>
          <w:rtl/>
        </w:rPr>
        <w:lastRenderedPageBreak/>
        <w:t>در پنج محور و به‌همراه یک مقایسه درزمانی عرضه می‌کند. بخش بحث، سازوکار پیشنهادی پژوهش را در برابر تبیین‌های رقیب می‌سنجد و بخش پایانی به دلالت‌ها و نتیجه‌گیری اختصاص دارد.</w:t>
      </w:r>
    </w:p>
    <w:p w14:paraId="75A9B403" w14:textId="77777777" w:rsidR="004270F1" w:rsidRDefault="00000000">
      <w:pPr>
        <w:pStyle w:val="Heading1"/>
        <w:bidi/>
        <w:spacing w:before="320" w:after="140"/>
      </w:pPr>
      <w:r>
        <w:rPr>
          <w:b/>
          <w:bCs/>
          <w:color w:val="000000"/>
          <w:sz w:val="26"/>
          <w:szCs w:val="26"/>
          <w:rtl/>
        </w:rPr>
        <w:t>۲. پیشینه پژوهش و خلأ تحقیقاتی</w:t>
      </w:r>
    </w:p>
    <w:p w14:paraId="0A6BCCE1" w14:textId="77777777" w:rsidR="004270F1" w:rsidRDefault="00000000">
      <w:pPr>
        <w:bidi/>
        <w:spacing w:after="120"/>
        <w:ind w:firstLine="360"/>
        <w:jc w:val="both"/>
      </w:pPr>
      <w:r>
        <w:rPr>
          <w:rtl/>
        </w:rPr>
        <w:t>ادبیات مرتبط با مسئله این پژوهش را می‌توان در چهار دسته سازمان داد. معیار دسته‌بندی، نوع پاسخی است که هر دسته به پرسش نسبت میان معنا و کنش در سیاست خارجی می‌دهد.</w:t>
      </w:r>
    </w:p>
    <w:p w14:paraId="649F9BE4" w14:textId="77777777" w:rsidR="004270F1" w:rsidRDefault="00000000">
      <w:pPr>
        <w:pStyle w:val="Heading2"/>
        <w:bidi/>
        <w:spacing w:before="240" w:after="100"/>
      </w:pPr>
      <w:r>
        <w:rPr>
          <w:b/>
          <w:bCs/>
          <w:color w:val="000000"/>
          <w:sz w:val="23"/>
          <w:szCs w:val="23"/>
          <w:rtl/>
        </w:rPr>
        <w:t>۲-۱. مطالعات مبانی هویتی سیاست خارجی جمهوری اسلامی ایران</w:t>
      </w:r>
    </w:p>
    <w:p w14:paraId="5A2C76F5" w14:textId="77777777" w:rsidR="004270F1" w:rsidRDefault="00000000">
      <w:pPr>
        <w:bidi/>
        <w:spacing w:after="120"/>
        <w:ind w:firstLine="360"/>
        <w:jc w:val="both"/>
      </w:pPr>
      <w:r>
        <w:rPr>
          <w:rtl/>
        </w:rPr>
        <w:t>نخستین دسته، پژوهش‌هایی است که سیاست خارجی ایران را در پیوند با مبانی هویتی، فکری و ارزشی آن بررسی کرده‌اند. رامضانی در اثری که به یکی از مراجع پرارجاع این حوزه تبدیل شد، استدلال کرد که رفتار خارجی ایران نه با ایدئولوژی محض و نه با عمل‌گرایی محض قابل توضیح است، بلکه از نوعی «عمل‌گرایی مبتنی بر اصول» پیروی می‌کند که در آن اصول ایدئولوژیک چارچوب تفسیر منافع را تعیین می‌کنند (Ramazani, 2004). ادیب‌مقدم نیز با تمرکز بر شکل‌گیری «جمهوری اسلامی» به‌مثابه یک صورت‌بندی گفتمانی، نشان داد که سیاست خارجی ایران درون یک میدان معنایی متکثر و مورد منازعه تولید می‌شود (Adib-Moghaddam, 2008). در ادبیات فارسی، دهقانی فیروزآبادی بر ضرورت تدوین مبانی نظری و معنایی برای فهم سیاست خارجی جمهوری اسلامی تأکید کرده و افتخاری نقش مؤلفه‌های هویتی را در جهت‌گیری‌های کلان بررسی کرده است (دهقانی فیروزآبادی، ۱۳۹۰؛ افتخاری، ۱۳۹۲). حاجی‌یوسفی نیز پیوند میان تحولات منطقه‌ای و بازتعریف اولویت‌های سیاست خارجی را واکاوی کرده است (حاجی‌یوسفی، ۱۳۸۴).</w:t>
      </w:r>
    </w:p>
    <w:p w14:paraId="76DC7BE1" w14:textId="77777777" w:rsidR="004270F1" w:rsidRDefault="00000000">
      <w:pPr>
        <w:bidi/>
        <w:spacing w:after="120"/>
        <w:ind w:firstLine="360"/>
        <w:jc w:val="both"/>
      </w:pPr>
      <w:r>
        <w:rPr>
          <w:rtl/>
        </w:rPr>
        <w:t>نقطه قوت این دسته، مستندسازی دقیق نقش عناصر هویتی است. محدودیت آن، آن است که غالباً در سطح توصیف محتوای هویتی متوقف می‌ماند و توضیح نمی‌دهد که چرا همان مجموعه عناصر هویتی در حوزه‌های موضوعی متفاوت، پیامدهای راهبردی متفاوتی تولید می‌کند. به بیان دقیق‌تر، این مطالعات «محتوا» را توضیح می‌دهند اما «سازوکار» را نه.</w:t>
      </w:r>
    </w:p>
    <w:p w14:paraId="03894FA4" w14:textId="77777777" w:rsidR="004270F1" w:rsidRDefault="00000000">
      <w:pPr>
        <w:pStyle w:val="Heading2"/>
        <w:bidi/>
        <w:spacing w:before="240" w:after="100"/>
      </w:pPr>
      <w:r>
        <w:rPr>
          <w:b/>
          <w:bCs/>
          <w:color w:val="000000"/>
          <w:sz w:val="23"/>
          <w:szCs w:val="23"/>
          <w:rtl/>
        </w:rPr>
        <w:t>۲-۲. مطالعات گفتمانی سیاست خارجی</w:t>
      </w:r>
    </w:p>
    <w:p w14:paraId="45C10571" w14:textId="77777777" w:rsidR="004270F1" w:rsidRDefault="00000000">
      <w:pPr>
        <w:bidi/>
        <w:spacing w:after="120"/>
        <w:ind w:firstLine="360"/>
        <w:jc w:val="both"/>
      </w:pPr>
      <w:r>
        <w:rPr>
          <w:rtl/>
        </w:rPr>
        <w:t>دسته دوم، پژوهش‌هایی است که مستقیماً از ابزارهای تحلیل گفتمان برای مطالعه سیاست خارجی بهره گرفته‌اند. کمپبل در اثری بنیادین نشان داد که سیاست خارجی، پیش از آنکه سیاستی درباره «بیرون» باشد، سازوکاری برای تولید مرزهای هویتی «درون» است (Campbell, 1998). داتی با تحلیل روایت‌های آمریکا درباره فیلیپین، نشان داد که امکان‌های سیاستی، پیشاپیش با شیوه بازنمایی «دیگری» محدود می‌شوند (Doty, 1993). هانسن با تدوین یک چارچوب روش‌شناختی منسجم برای پیوند دادن بازنمایی هویتی و سیاست خارجی، سهم مهمی در روشمندسازی این حوزه داشت (Hansen, 2006) و میلیکن با بررسی انتقادی روش‌های موجود، معیارهایی برای اعتبارسنجی پژوهش گفتمانی پیشنهاد کرد (Milliken, 1999). در ادبیات ایرانی، ورنار با مطالعه گفتمان سیاست خارجی دوره احمدی‌نژاد نشان داد که تغییرات گفتمانی، بیش از آنکه بازتاب تغییر باورها باشد، محصول بازآرایی مفصل‌بندی‌ها در پاسخ به منازعات داخلی است (Warnaar, 2013).</w:t>
      </w:r>
    </w:p>
    <w:p w14:paraId="18FAA91A" w14:textId="77777777" w:rsidR="004270F1" w:rsidRDefault="00000000">
      <w:pPr>
        <w:bidi/>
        <w:spacing w:after="120"/>
        <w:ind w:firstLine="360"/>
        <w:jc w:val="both"/>
      </w:pPr>
      <w:r>
        <w:rPr>
          <w:rtl/>
        </w:rPr>
        <w:t>محدودیت مشترک این دسته آن است که تمرکز آن‌ها عمدتاً بر «چگونگی ساخت هویت» است و مسئله ترجمه هویت به راهبرد، یا اساساً مطرح نمی‌شود یا با این پیش‌فرض کنار گذاشته می‌شود که تمایز میان گفتار و کنش، تمایزی نادرست است. این موضع، از منظر فلسفی قابل دفاع است، اما پژوهشگر سیاست خارجی را از توضیح تفاوت‌های محسوس میان حوزه‌های موضوعی ناتوان می‌گذارد.</w:t>
      </w:r>
    </w:p>
    <w:p w14:paraId="6336173F" w14:textId="77777777" w:rsidR="004270F1" w:rsidRDefault="00000000">
      <w:pPr>
        <w:pStyle w:val="Heading2"/>
        <w:bidi/>
        <w:spacing w:before="240" w:after="100"/>
      </w:pPr>
      <w:r>
        <w:rPr>
          <w:b/>
          <w:bCs/>
          <w:color w:val="000000"/>
          <w:sz w:val="23"/>
          <w:szCs w:val="23"/>
          <w:rtl/>
        </w:rPr>
        <w:t>۲-۳. مطالعات تبیین شکاف میان گفتار و رفتار</w:t>
      </w:r>
    </w:p>
    <w:p w14:paraId="2D26ACB2" w14:textId="77777777" w:rsidR="004270F1" w:rsidRDefault="00000000">
      <w:pPr>
        <w:bidi/>
        <w:spacing w:after="120"/>
        <w:ind w:firstLine="360"/>
        <w:jc w:val="both"/>
      </w:pPr>
      <w:r>
        <w:rPr>
          <w:rtl/>
        </w:rPr>
        <w:lastRenderedPageBreak/>
        <w:t>دسته سوم، مطالعاتی است که مستقیماً به مسئله فاصله میان اعلام و اجرا در سیاست خارجی ایران پرداخته‌اند، اما عمدتاً از منظرهای غیرگفتمانی. ژونو با بهره‌گیری از واقع‌گرایی نوکلاسیک استدلال کرد که ناتوانی ایران در تبدیل فرصت‌های منطقه‌ای به دستاورد راهبردی، ناشی از سازوکارهای معیوب انتقال در سطح واحد است (Juneau, 2015). طباطبایی با بررسی راهبرد امنیت ملی ایران نشان داد که این راهبرد بیش از آنکه محصول یک طراحی واحد باشد، برآیند سازش میان نهادهای متعدد است (Tabatabai, 2020). این آثار، سهم مهمی در شناسایی متغیرهای داخلی دارند.</w:t>
      </w:r>
    </w:p>
    <w:p w14:paraId="3FBBF637" w14:textId="77777777" w:rsidR="004270F1" w:rsidRDefault="00000000">
      <w:pPr>
        <w:bidi/>
        <w:spacing w:after="120"/>
        <w:ind w:firstLine="360"/>
        <w:jc w:val="both"/>
      </w:pPr>
      <w:r>
        <w:rPr>
          <w:rtl/>
        </w:rPr>
        <w:t>با این حال، نقطه ضعف آن‌ها از منظر پژوهش حاضر، نادیده گرفتن بُعد معنایی است. آن‌ها شکاف را به عوامل نهادی و مادی فرومی‌کاهند و توضیح نمی‌دهند که چرا برخی گزینه‌های سیاستی، حتی پیش از ورود به فرایند تصمیم‌گیری نهادی، از میدان امکان‌های مشروع خارج می‌شوند.</w:t>
      </w:r>
    </w:p>
    <w:p w14:paraId="28E175BF" w14:textId="77777777" w:rsidR="004270F1" w:rsidRDefault="00000000">
      <w:pPr>
        <w:pStyle w:val="Heading2"/>
        <w:bidi/>
        <w:spacing w:before="240" w:after="100"/>
      </w:pPr>
      <w:r>
        <w:rPr>
          <w:b/>
          <w:bCs/>
          <w:color w:val="000000"/>
          <w:sz w:val="23"/>
          <w:szCs w:val="23"/>
          <w:rtl/>
        </w:rPr>
        <w:t>۲-۴. مطالعات گذار نظم جهانی</w:t>
      </w:r>
    </w:p>
    <w:p w14:paraId="6C6EEB16" w14:textId="77777777" w:rsidR="004270F1" w:rsidRDefault="00000000">
      <w:pPr>
        <w:bidi/>
        <w:spacing w:after="120"/>
        <w:ind w:firstLine="360"/>
        <w:jc w:val="both"/>
      </w:pPr>
      <w:r>
        <w:rPr>
          <w:rtl/>
        </w:rPr>
        <w:t>دسته چهارم به تحول نظم بین‌المللی مربوط است. آچاریا از پایان نظم آمریکایی و ظهور نظم «چندلایه» سخن می‌گوید که در آن مراکز متعدد قدرت و هنجارگذاری هم‌زیستی دارند (Acharya, 2014, 2017). بوزان و لاوسون تحول ساختاری نظام بین‌الملل را در بستری تاریخی بازخوانی می‌کنند (Buzan &amp; Lawson, 2015) و آیکنبری مسئله فرسایش نظم لیبرال را از درون طرح می‌کند (Ikenberry, 2018). اهمیت این دسته برای پژوهش حاضر آن است که نشان می‌دهد میدان گفتمانی‌ای که سیاست خارجی ایران در آن عمل می‌کند، خود در وضعیت بی‌ثباتی معنایی قرار دارد؛ یعنی دال‌هایی مانند «نظم»، «مشروعیت» و «چندجانبه‌گرایی» در سطح جهانی نیز در حال بازتعریف‌اند.</w:t>
      </w:r>
    </w:p>
    <w:p w14:paraId="763DAEDD" w14:textId="77777777" w:rsidR="004270F1" w:rsidRDefault="00000000">
      <w:pPr>
        <w:pStyle w:val="Heading2"/>
        <w:bidi/>
        <w:spacing w:before="240" w:after="100"/>
      </w:pPr>
      <w:r>
        <w:rPr>
          <w:b/>
          <w:bCs/>
          <w:color w:val="000000"/>
          <w:sz w:val="23"/>
          <w:szCs w:val="23"/>
          <w:rtl/>
        </w:rPr>
        <w:t>۲-۵. خلأ پژوهشی و نوآوری پژوهش حاضر</w:t>
      </w:r>
    </w:p>
    <w:p w14:paraId="376A4880" w14:textId="77777777" w:rsidR="004270F1" w:rsidRDefault="00000000">
      <w:pPr>
        <w:bidi/>
        <w:spacing w:after="120"/>
        <w:ind w:firstLine="360"/>
        <w:jc w:val="both"/>
      </w:pPr>
      <w:r>
        <w:rPr>
          <w:rtl/>
        </w:rPr>
        <w:t>جمع‌بندی چهار دسته فوق، سه خلأ مشخص را آشکار می‌کند.</w:t>
      </w:r>
    </w:p>
    <w:p w14:paraId="036C25DA" w14:textId="77777777" w:rsidR="004270F1" w:rsidRDefault="00000000">
      <w:pPr>
        <w:bidi/>
        <w:spacing w:after="120"/>
        <w:ind w:firstLine="360"/>
        <w:jc w:val="both"/>
      </w:pPr>
      <w:r>
        <w:rPr>
          <w:rtl/>
        </w:rPr>
        <w:t>نخست، خلأ سازوکاری. هر چهار دسته، وجود فاصله میان معنا و کنش را یا مفروض می‌گیرند یا مستند می‌کنند، اما هیچ‌یک شرطی را صورت‌بندی نمی‌کند که تعیین کند این فاصله در چه حوزه‌هایی پدید می‌آید و در چه حوزه‌هایی نه. مطالعات موجود، فاصله را ویژگی کل سیاست خارجی می‌دانند، در حالی که مسئله اصلی، تغییرپذیری آن میان حوزه‌هاست.</w:t>
      </w:r>
    </w:p>
    <w:p w14:paraId="66F4DD62" w14:textId="77777777" w:rsidR="004270F1" w:rsidRDefault="00000000">
      <w:pPr>
        <w:bidi/>
        <w:spacing w:after="120"/>
        <w:ind w:firstLine="360"/>
        <w:jc w:val="both"/>
      </w:pPr>
      <w:r>
        <w:rPr>
          <w:rtl/>
        </w:rPr>
        <w:t>دوم، خلأ در طراحی مقایسه‌ای درون‌موردی. بخش عمده مطالعات گفتمانی سیاست خارجی ایران، یا یک دوره را با دوره دیگر مقایسه کرده‌اند یا یک گفتمان را در کلیت آن توصیف کرده‌اند. مقایسه دو حوزه موضوعی درون یک دولت واحد و یک بازه زمانی واحد، طراحی کمتر به‌کاررفته‌ای است، در حالی که دقیقاً همین طراحی، متغیرهای مزاحم مانند تغییر دولت، تغییر رهبری یا تغییر شرایط ساختاری را کنترل می‌کند.</w:t>
      </w:r>
    </w:p>
    <w:p w14:paraId="5ADDD37D" w14:textId="77777777" w:rsidR="004270F1" w:rsidRDefault="00000000">
      <w:pPr>
        <w:bidi/>
        <w:spacing w:after="120"/>
        <w:ind w:firstLine="360"/>
        <w:jc w:val="both"/>
      </w:pPr>
      <w:r>
        <w:rPr>
          <w:rtl/>
        </w:rPr>
        <w:t>سوم، خلأ مفهومی. مفهومی که بتواند وضعیت «حضور گفتمان به‌همراه ناتوانی در تثبیت راهبردی» را نام‌گذاری کند، در ادبیات فارسی سیاست خارجی به‌روشنی صورت‌بندی نشده است. پژوهش حاضر برای پر کردن این خلأ، مفهوم «وضعیت بیناگفتمانی» را پیشنهاد می‌کند، اما — برخلاف رویه رایج در معرفی مفاهیم تازه — این مفهوم را نه به‌عنوان یک ابداع بی‌پیشینه، بلکه به‌عنوان صورت‌بندی خاصی از مفهوم «بی‌قراری» لاکلائو در حوزه سیاست خارجی معرفی می‌کند و در بخش بعد، نسبت آن با مفاهیم موجود را به‌دقت روشن می‌سازد.</w:t>
      </w:r>
    </w:p>
    <w:p w14:paraId="0B0748EA" w14:textId="77777777" w:rsidR="004270F1" w:rsidRDefault="00000000">
      <w:pPr>
        <w:bidi/>
        <w:spacing w:after="120"/>
        <w:ind w:firstLine="360"/>
        <w:jc w:val="both"/>
      </w:pPr>
      <w:r>
        <w:rPr>
          <w:rtl/>
        </w:rPr>
        <w:t>بر این اساس، نوآوری پژوهش حاضر در سه سطح تعریف می‌شود: در سطح نظری، پیوند دادن مفهوم بی‌قراری لاکلائو با مسئله ترجمه‌پذیری راهبردی؛ در سطح روشی، به‌کارگیری طراحی مقایسه‌ای درون‌موردی میان دو حوزه سیاست خارجی؛ و در سطح تجربی، تحلیل نظام‌مند دو سند رسمی مستند سازمان ملل متحد که تاکنون به‌صورت جفتی و درزمانی تحلیل نشده‌اند.</w:t>
      </w:r>
    </w:p>
    <w:p w14:paraId="3184FF11" w14:textId="77777777" w:rsidR="004270F1" w:rsidRDefault="00000000">
      <w:pPr>
        <w:pStyle w:val="Heading1"/>
        <w:bidi/>
        <w:spacing w:before="320" w:after="140"/>
      </w:pPr>
      <w:r>
        <w:rPr>
          <w:b/>
          <w:bCs/>
          <w:color w:val="000000"/>
          <w:sz w:val="26"/>
          <w:szCs w:val="26"/>
          <w:rtl/>
        </w:rPr>
        <w:t>۳. چارچوب نظری</w:t>
      </w:r>
    </w:p>
    <w:p w14:paraId="563A02A5" w14:textId="77777777" w:rsidR="004270F1" w:rsidRDefault="00000000">
      <w:pPr>
        <w:pStyle w:val="Heading2"/>
        <w:bidi/>
        <w:spacing w:before="240" w:after="100"/>
      </w:pPr>
      <w:r>
        <w:rPr>
          <w:b/>
          <w:bCs/>
          <w:color w:val="000000"/>
          <w:sz w:val="23"/>
          <w:szCs w:val="23"/>
          <w:rtl/>
        </w:rPr>
        <w:lastRenderedPageBreak/>
        <w:t>۳-۱. نظریه گفتمان لاکلائو و موفه: مفاهیم کارآمد برای این پژوهش</w:t>
      </w:r>
    </w:p>
    <w:p w14:paraId="0A845B1F" w14:textId="77777777" w:rsidR="004270F1" w:rsidRDefault="00000000">
      <w:pPr>
        <w:bidi/>
        <w:spacing w:after="120"/>
        <w:ind w:firstLine="360"/>
        <w:jc w:val="both"/>
      </w:pPr>
      <w:r>
        <w:rPr>
          <w:rtl/>
        </w:rPr>
        <w:t>نظریه گفتمان ارنستو لاکلائو و شانتال موفه، در امتداد سنت پساساختارگرایی و با بازخوانی مفهوم هژمونی نزد گرامشی تدوین شده است. هسته این نظریه، انکار وجود معنای پیشاگفتمانی است: هیچ عنصری پیش از قرار گرفتن در یک نظام رابطه‌ای، معنای تثبیت‌شده‌ای ندارد (Laclau &amp; Mouffe, 2001: 105-114). این گزاره برای پژوهش حاضر پیامد مهمی دارد؛ یعنی نمی‌توان «هویت» را به‌عنوان امری موجود فرض کرد که سپس در گفتمان بیان می‌شود. هویت، خودْ حاصل همان فرایند مفصل‌بندی است. مفاهیم زیر، ابزارهای تحلیلی مورد استفاده در این پژوهش‌اند.</w:t>
      </w:r>
    </w:p>
    <w:p w14:paraId="12A86C50" w14:textId="77777777" w:rsidR="004270F1" w:rsidRDefault="00000000">
      <w:pPr>
        <w:bidi/>
        <w:spacing w:after="120"/>
        <w:ind w:firstLine="360"/>
        <w:jc w:val="both"/>
      </w:pPr>
      <w:r>
        <w:rPr>
          <w:rtl/>
        </w:rPr>
        <w:t>مفصل‌بندی عبارت است از هر عملی که میان عناصر پراکنده رابطه‌ای برقرار کند، به‌گونه‌ای که هویت آن عناصر در نتیجه این رابطه دگرگون شود. کلیت ساختاریافته حاصل از این عمل، گفتمان نامیده می‌شود و عناصری که در آن به موقعیت تثبیت‌شده رسیده‌اند، «وقته» خوانده می‌شوند (Laclau &amp; Mouffe, 2001: 105).</w:t>
      </w:r>
    </w:p>
    <w:p w14:paraId="624FE771" w14:textId="77777777" w:rsidR="004270F1" w:rsidRDefault="00000000">
      <w:pPr>
        <w:bidi/>
        <w:spacing w:after="120"/>
        <w:ind w:firstLine="360"/>
        <w:jc w:val="both"/>
      </w:pPr>
      <w:r>
        <w:rPr>
          <w:rtl/>
        </w:rPr>
        <w:t>دال شناور به عنصری اطلاق می‌شود که میان گفتمان‌های رقیب مورد منازعه است و هر گفتمان می‌کوشد آن را در زنجیره معنایی خود تثبیت کند. نقطه گره‌ای، دال ممتازی است که سایر دال‌ها حول آن ترتیب می‌یابند و معنای نسبی خود را از رابطه با آن به دست می‌آورند (Laclau &amp; Mouffe, 2001: 112).</w:t>
      </w:r>
    </w:p>
    <w:p w14:paraId="2E6EC49A" w14:textId="77777777" w:rsidR="004270F1" w:rsidRDefault="00000000">
      <w:pPr>
        <w:bidi/>
        <w:spacing w:after="120"/>
        <w:ind w:firstLine="360"/>
        <w:jc w:val="both"/>
      </w:pPr>
      <w:r>
        <w:rPr>
          <w:rtl/>
        </w:rPr>
        <w:t>دال تهی مفهومی است که لاکلائو در آثار متأخرتر خود بسط داد. دال تهی، دالی است که به دلیل ناتوانی از داشتن محتوای مثبت مشخص، توانایی بازنمایی کلیت یک زنجیره را پیدا می‌کند. هرچه یک دال بتواند مطالبات بیشتری را زیر خود گرد آورد، محتوای خاص آن تهی‌تر و ظرفیت هژمونیک آن بیشتر می‌شود (Laclau, 1996: 36-46; Laclau, 2005: 69-72). این تمایز میان نقطه گره‌ای و دال تهی، در تحلیل جایگاه «عدالت» در گفتمان مورد بررسی، نقش تعیین‌کننده‌ای خواهد داشت.</w:t>
      </w:r>
    </w:p>
    <w:p w14:paraId="6A7906A8" w14:textId="77777777" w:rsidR="004270F1" w:rsidRDefault="00000000">
      <w:pPr>
        <w:bidi/>
        <w:spacing w:after="120"/>
        <w:ind w:firstLine="360"/>
        <w:jc w:val="both"/>
      </w:pPr>
      <w:r>
        <w:rPr>
          <w:rtl/>
        </w:rPr>
        <w:t>منطق هم‌ارزی و منطق تفاوت، دو منطق سازمان‌دهنده هر گفتمان‌اند. منطق هم‌ارزی، تفاوت‌های میان مطالبات گوناگون را در برابر یک «دیگری» مشترک کم‌رنگ می‌کند و آن‌ها را در یک زنجیره واحد قرار می‌دهد؛ منطق تفاوت، برعکس، می‌کوشد مطالبات را از یکدیگر تفکیک و هریک را جداگانه جذب سیستم کند (Laclau &amp; Mouffe, 2001: 127-134; Howarth &amp; Stavrakakis, 2000: 11).</w:t>
      </w:r>
    </w:p>
    <w:p w14:paraId="40015C82" w14:textId="77777777" w:rsidR="004270F1" w:rsidRDefault="00000000">
      <w:pPr>
        <w:bidi/>
        <w:spacing w:after="120"/>
        <w:ind w:firstLine="360"/>
        <w:jc w:val="both"/>
      </w:pPr>
      <w:r>
        <w:rPr>
          <w:rtl/>
        </w:rPr>
        <w:t>آنتاگونیسم و مرز خصمانه، بیانگر آن است که هر هویت گفتمانی، برای تثبیت خود نیازمند یک «بیرون سازنده» است؛ یعنی نیرویی که مانع تحقق کامل آن هویت تلقی می‌شود. آنتاگونیسم، نشانه محدودیت ذاتی هر عینیت است (Laclau &amp; Mouffe, 2001: 122-127; Mouffe, 2005: 15-18).</w:t>
      </w:r>
    </w:p>
    <w:p w14:paraId="0F46BC46" w14:textId="77777777" w:rsidR="004270F1" w:rsidRDefault="00000000">
      <w:pPr>
        <w:bidi/>
        <w:spacing w:after="120"/>
        <w:ind w:firstLine="360"/>
        <w:jc w:val="both"/>
      </w:pPr>
      <w:r>
        <w:rPr>
          <w:rtl/>
        </w:rPr>
        <w:t>بی‌قراری، مفهومی است که لاکلائو در «تأملات تازه» بسط داد و برای پژوهش حاضر محوریت دارد. بی‌قراری به وضعیتی اشاره می‌کند که در آن ساختار گفتمانی با رخداد یا عنصری روبه‌رو می‌شود که نمی‌تواند آن را در نظام معنایی خود جذب و نمادین کند. بی‌قراری هم‌زمان تهدید و امکان است: از یک سو نشان می‌دهد که ساختار ناکامل است، و از سوی دیگر فضایی برای بازمفصل‌بندی و کنش سیاسی می‌گشاید (Laclau, 1990: 39-45; Torfing, 1999: 148-151).</w:t>
      </w:r>
    </w:p>
    <w:p w14:paraId="27B18320" w14:textId="77777777" w:rsidR="004270F1" w:rsidRDefault="00000000">
      <w:pPr>
        <w:pStyle w:val="Heading2"/>
        <w:bidi/>
        <w:spacing w:before="240" w:after="100"/>
      </w:pPr>
      <w:r>
        <w:rPr>
          <w:b/>
          <w:bCs/>
          <w:color w:val="000000"/>
          <w:sz w:val="23"/>
          <w:szCs w:val="23"/>
          <w:rtl/>
        </w:rPr>
        <w:t>۳-۲. جایگاه مفهوم «وضعیت بیناگفتمانی» و تمایز آن از کاربردهای موجود</w:t>
      </w:r>
    </w:p>
    <w:p w14:paraId="60003738" w14:textId="77777777" w:rsidR="004270F1" w:rsidRDefault="00000000">
      <w:pPr>
        <w:bidi/>
        <w:spacing w:after="120"/>
        <w:ind w:firstLine="360"/>
        <w:jc w:val="both"/>
      </w:pPr>
      <w:r>
        <w:rPr>
          <w:rtl/>
        </w:rPr>
        <w:t>پژوهش حاضر مفهوم «وضعیت بیناگفتمانی» را برای نامیدن وضعیتی به کار می‌گیرد که در آن یک گفتمان سیاست خارجی، مفصل‌بندی معنایی نسبتاً منسجمی دارد، اما توان تبدیل این مفصل‌بندی به یک منطق راهبردی واحد در همه حوزه‌های موضوعی را ندارد. پیش از هر چیز باید دو تمایز مهم روشن شود، زیرا اصطلاح مشابهی در ادبیات تحلیل گفتمان با معنایی متفاوت رایج است.</w:t>
      </w:r>
    </w:p>
    <w:p w14:paraId="03533BF6" w14:textId="77777777" w:rsidR="004270F1" w:rsidRDefault="00000000">
      <w:pPr>
        <w:bidi/>
        <w:spacing w:after="120"/>
        <w:ind w:firstLine="360"/>
        <w:jc w:val="both"/>
      </w:pPr>
      <w:r>
        <w:rPr>
          <w:rtl/>
        </w:rPr>
        <w:t xml:space="preserve">نخست، تمایز از interdiscursivity نزد فرکلاف. در تحلیل گفتمان انتقادی، «بیناگفتمانیت» به درهم‌آمیزی گفتمان‌ها و ژانرهای متعدد در یک رخداد ارتباطی واحد اشاره دارد و ابزاری برای سنجش میزان خلاقیت یا محافظه‌کاری یک متن است (Fairclough, 1992: 124-130; Fairclough, 2003: 218). این </w:t>
      </w:r>
      <w:r>
        <w:rPr>
          <w:rtl/>
        </w:rPr>
        <w:lastRenderedPageBreak/>
        <w:t>مفهوم به سطح «متن» و ترکیب منابع گفتمانی مربوط می‌شود. مفهوم مورد نظر پژوهش حاضر، به سطح دیگری تعلق دارد: نه ترکیب گفتمان‌ها در یک متن، بلکه ناتوانی یک نظام معنایی از تثبیت پیوند خود با کنش. برای پرهیز از خلط این دو، در ادامه مقاله هرجا مفهوم پژوهش مراد باشد، صریحاً «وضعیت بیناگفتمانی» با تعریف اختصاصی آن به کار می‌رود و معادل انگلیسی پیشنهادی آن inter-discursive condition است، نه interdiscursivity.</w:t>
      </w:r>
    </w:p>
    <w:p w14:paraId="2B2FECF6" w14:textId="77777777" w:rsidR="004270F1" w:rsidRDefault="00000000">
      <w:pPr>
        <w:bidi/>
        <w:spacing w:after="120"/>
        <w:ind w:firstLine="360"/>
        <w:jc w:val="both"/>
      </w:pPr>
      <w:r>
        <w:rPr>
          <w:rtl/>
        </w:rPr>
        <w:t>دوم، نسبت با «بی‌قراری» نزد لاکلائو. مفهوم پیشنهادی پژوهش، ابداعی بی‌پیشینه نیست؛ بلکه صورت‌بندی خاصی از بی‌قراری در قلمرو سیاست خارجی است. تفاوت در آن است که لاکلائو بی‌قراری را عمدتاً به‌مثابه رخدادی معرفی می‌کند که ساختار را از بیرون مختل می‌سازد، در حالی که پژوهش حاضر بر گونه‌ای از بی‌قراری تمرکز دارد که از تعارض درونی میان منطق هم‌ارزی و الزامات کنش برمی‌خیزد. به بیان دقیق‌تر، ادعای این پژوهش آن است که وقتی تحقق یک مطالبه مستلزم همکاری با همان بازیگری باشد که مرز خصمانه گفتمان را می‌سازد، خودِ کنشِ لازم برای تحقق مطالبه، تهدیدی برای انسجام گفتمان می‌شود. این وضعیت را می‌توان «بی‌قراری درون‌زا» نامید.</w:t>
      </w:r>
    </w:p>
    <w:p w14:paraId="68A273BB" w14:textId="77777777" w:rsidR="004270F1" w:rsidRDefault="00000000">
      <w:pPr>
        <w:bidi/>
        <w:spacing w:after="120"/>
        <w:ind w:firstLine="360"/>
        <w:jc w:val="both"/>
      </w:pPr>
      <w:r>
        <w:rPr>
          <w:rtl/>
        </w:rPr>
        <w:t>بر این اساس، تعریف عملیاتی مفهوم چنین است: وضعیت بیناگفتمانی حالتی از تثبیت ناقص هژمونیک است که سه نشانه قابل ردیابی دارد: (الف) حضور یک زنجیره هم‌ارزی مشخص و تکرارشونده در متون رسمی؛ (ب) وجود دست‌کم یک حوزه موضوعی که تحقق زنجیره در آن مستلزم کنش متقابل بازیگر خصم است؛ (ج) پیدایش شروط، تضمین‌خواهی‌ها و قیدهای انباشته در بازنمایی گفتمانی همان حوزه، به‌عنوان نشانه تلاش گفتمان برای مهار تعارض.</w:t>
      </w:r>
    </w:p>
    <w:p w14:paraId="3B3EC006" w14:textId="77777777" w:rsidR="004270F1" w:rsidRDefault="00000000">
      <w:pPr>
        <w:pStyle w:val="Heading2"/>
        <w:bidi/>
        <w:spacing w:before="240" w:after="100"/>
      </w:pPr>
      <w:r>
        <w:rPr>
          <w:b/>
          <w:bCs/>
          <w:color w:val="000000"/>
          <w:sz w:val="23"/>
          <w:szCs w:val="23"/>
          <w:rtl/>
        </w:rPr>
        <w:t>۳-۳. نسبت با سازه‌انگاری: یک تصریح متاتئوریک</w:t>
      </w:r>
    </w:p>
    <w:p w14:paraId="71598004" w14:textId="77777777" w:rsidR="004270F1" w:rsidRDefault="00000000">
      <w:pPr>
        <w:bidi/>
        <w:spacing w:after="120"/>
        <w:ind w:firstLine="360"/>
        <w:jc w:val="both"/>
      </w:pPr>
      <w:r>
        <w:rPr>
          <w:rtl/>
        </w:rPr>
        <w:t>ادبیات فارسی روابط بین‌الملل غالباً سازه‌انگاری و نظریه گفتمان را به‌عنوان دو رهیافت هم‌خانواده و مکمل به کار می‌گیرد. این پژوهش با این رویه فاصله می‌گیرد. سازه‌انگاری متعارف، به‌ویژه در روایت ونت، بر پایه واقع‌گرایی علمی بنا شده و هویت دولت‌ها را واحدهایی نسبتاً باثبات می‌داند که در تعامل اجتماعی شکل می‌گیرند و می‌توانند به‌عنوان متغیر توضیح‌دهنده رفتار به کار روند (Wendt, 1999: 224-233). نظریه لاکلائو و موفه، در مقابل، ضدذات‌گرا است و هرگونه تثبیت هویت را موقت و سیاسی می‌داند. این تفاوت، صرفاً اختلاف در تأکید نیست؛ اختلاف در هستی‌شناسی است و پژوهشگرانی مانند زفوس آن را دلیل ناسازگاری بنیادی این دو دانسته‌اند (Zehfuss, 2002: 10-37).</w:t>
      </w:r>
    </w:p>
    <w:p w14:paraId="1191117E" w14:textId="77777777" w:rsidR="004270F1" w:rsidRDefault="00000000">
      <w:pPr>
        <w:bidi/>
        <w:spacing w:after="120"/>
        <w:ind w:firstLine="360"/>
        <w:jc w:val="both"/>
      </w:pPr>
      <w:r>
        <w:rPr>
          <w:rtl/>
        </w:rPr>
        <w:t>با این حال، تمایزی که هاپف میان سازه‌انگاری «متعارف» و «انتقادی» برقرار می‌کند، راه سومی می‌گشاید (Hopf, 1998: 181-185). سازه‌انگاری انتقادی، برخلاف روایت ونت، تثبیت هویت را نه مفروض بلکه موضوع تبیین می‌داند و از این جهت با نظریه گفتمان سازگار است. پژوهش حاضر در همین قلمرو قرار می‌گیرد. بنابراین سازه‌انگاری در این مقاله نه به‌عنوان چارچوب تحلیلی موازی، بلکه صرفاً به‌عنوان زمینه معرفت‌شناختی‌ای به کار می‌رود که مسئله را ممکن می‌سازد: این پیش‌فرض که منافع ملی مقدم بر معنا نیستند. کار تحلیلی، تماماً بر عهده نظریه گفتمان است. این تصریح از آن رو ضروری است که تلقی این دو رهیافت به‌عنوان «مکمل» بدون توجه به تعارض هستی‌شناختی آن‌ها، یکی از ضعف‌های مکرر ادبیات موجود است.</w:t>
      </w:r>
    </w:p>
    <w:p w14:paraId="0558C1F4" w14:textId="77777777" w:rsidR="004270F1" w:rsidRDefault="00000000">
      <w:pPr>
        <w:pStyle w:val="Heading1"/>
        <w:bidi/>
        <w:spacing w:before="320" w:after="140"/>
      </w:pPr>
      <w:r>
        <w:rPr>
          <w:b/>
          <w:bCs/>
          <w:color w:val="000000"/>
          <w:sz w:val="26"/>
          <w:szCs w:val="26"/>
          <w:rtl/>
        </w:rPr>
        <w:t>۴. مدل تحلیلی و گزاره پژوهش</w:t>
      </w:r>
    </w:p>
    <w:p w14:paraId="39156371" w14:textId="77777777" w:rsidR="004270F1" w:rsidRDefault="00000000">
      <w:pPr>
        <w:pStyle w:val="Heading2"/>
        <w:bidi/>
        <w:spacing w:before="240" w:after="100"/>
      </w:pPr>
      <w:r>
        <w:rPr>
          <w:b/>
          <w:bCs/>
          <w:color w:val="000000"/>
          <w:sz w:val="23"/>
          <w:szCs w:val="23"/>
          <w:rtl/>
        </w:rPr>
        <w:t>۴-۱. مدل تحلیلی</w:t>
      </w:r>
    </w:p>
    <w:p w14:paraId="0494A991" w14:textId="77777777" w:rsidR="004270F1" w:rsidRDefault="00000000">
      <w:pPr>
        <w:bidi/>
        <w:spacing w:after="120"/>
        <w:ind w:firstLine="360"/>
        <w:jc w:val="both"/>
      </w:pPr>
      <w:r>
        <w:rPr>
          <w:rtl/>
        </w:rPr>
        <w:t xml:space="preserve">تحلیل در این پژوهش در سه لایه سازمان می‌یابد. تأکید می‌شود که این سه لایه، مدل عملیاتی سازمان‌دهی تحلیل‌اند و نباید با مفاهیم نظری لاکلائو و موفه یکسان انگاشته شوند؛ همچنین، برخلاف آنچه ظاهر خطی آن‌ها القا می‌کند، رابطه میان آن‌ها علّی و یک‌سویه نیست، زیرا در چارچوب نظری این </w:t>
      </w:r>
      <w:r>
        <w:rPr>
          <w:rtl/>
        </w:rPr>
        <w:lastRenderedPageBreak/>
        <w:t>پژوهش هویت پیشاپیش موجود نیست بلکه در خود مفصل‌بندی ساخته می‌شود. سه لایه صرفاً سه پرسش متفاوت‌اند که به یک پیکره داده واحد عرضه می‌شوند:</w:t>
      </w:r>
    </w:p>
    <w:p w14:paraId="5639C60A" w14:textId="77777777" w:rsidR="004270F1" w:rsidRDefault="00000000">
      <w:pPr>
        <w:pStyle w:val="ListParagraph"/>
        <w:numPr>
          <w:ilvl w:val="0"/>
          <w:numId w:val="1"/>
        </w:numPr>
        <w:bidi/>
        <w:spacing w:after="80"/>
        <w:ind w:right="431"/>
        <w:jc w:val="both"/>
      </w:pPr>
      <w:r>
        <w:rPr>
          <w:rtl/>
        </w:rPr>
        <w:t>لایه نخست، بازنمایی: متن چگونه «خود»، «دیگری» و محیط بین‌المللی را بازنمایی می‌کند و کدام دال‌ها موقعیت ممتاز می‌یابند؟</w:t>
      </w:r>
    </w:p>
    <w:p w14:paraId="016F477A" w14:textId="77777777" w:rsidR="004270F1" w:rsidRDefault="00000000">
      <w:pPr>
        <w:pStyle w:val="ListParagraph"/>
        <w:numPr>
          <w:ilvl w:val="0"/>
          <w:numId w:val="1"/>
        </w:numPr>
        <w:bidi/>
        <w:spacing w:after="80"/>
        <w:ind w:right="431"/>
        <w:jc w:val="both"/>
      </w:pPr>
      <w:r>
        <w:rPr>
          <w:rtl/>
        </w:rPr>
        <w:t>لایه دوم، مفصل‌بندی: این دال‌ها در چه زنجیره‌های هم‌ارزی قرار می‌گیرند، مرز خصمانه کجا ترسیم می‌شود، و چه جهت‌گیری راهبردی از دل این آرایش مشروعیت می‌یابد؟</w:t>
      </w:r>
    </w:p>
    <w:p w14:paraId="2515BEA1" w14:textId="77777777" w:rsidR="004270F1" w:rsidRDefault="00000000">
      <w:pPr>
        <w:pStyle w:val="ListParagraph"/>
        <w:numPr>
          <w:ilvl w:val="0"/>
          <w:numId w:val="1"/>
        </w:numPr>
        <w:bidi/>
        <w:spacing w:after="80"/>
        <w:ind w:right="431"/>
        <w:jc w:val="both"/>
      </w:pPr>
      <w:r>
        <w:rPr>
          <w:rtl/>
        </w:rPr>
        <w:t>لایه سوم، ترجمه‌پذیری: زنجیره مفصل‌بندی‌شده تا چه اندازه با اقدامات، سازوکارها و نتایج قابل مشاهده سیاست خارجی در همان حوزه انطباق دارد و در نقاط عدم انطباق، متن چه راهبردهای زبانی برای مهار تعارض به کار می‌گیرد؟</w:t>
      </w:r>
    </w:p>
    <w:p w14:paraId="4E3EFFE1" w14:textId="77777777" w:rsidR="004270F1" w:rsidRDefault="00000000">
      <w:pPr>
        <w:pStyle w:val="Heading2"/>
        <w:bidi/>
        <w:spacing w:before="240" w:after="100"/>
      </w:pPr>
      <w:r>
        <w:rPr>
          <w:b/>
          <w:bCs/>
          <w:color w:val="000000"/>
          <w:sz w:val="23"/>
          <w:szCs w:val="23"/>
          <w:rtl/>
        </w:rPr>
        <w:t>۴-۲. گزاره تحلیلی پژوهش</w:t>
      </w:r>
    </w:p>
    <w:p w14:paraId="61EB3477" w14:textId="77777777" w:rsidR="004270F1" w:rsidRDefault="00000000">
      <w:pPr>
        <w:bidi/>
        <w:spacing w:after="120"/>
        <w:ind w:firstLine="360"/>
        <w:jc w:val="both"/>
      </w:pPr>
      <w:r>
        <w:rPr>
          <w:rtl/>
        </w:rPr>
        <w:t>پژوهش حاضر، به اقتضای رویکرد تفسیری، به‌جای فرضیه پوزیتیویستی قابل آزمون آماری، یک گزاره تحلیلی ارائه می‌کند. با این حال، این گزاره برخلاف بسیاری از گزاره‌های تفسیری، صرفاً بازگویی تعریف مفهوم نیست، بلکه یک سازوکار مشخص و قابل چالش را صورت‌بندی می‌کند:</w:t>
      </w:r>
    </w:p>
    <w:p w14:paraId="17489399" w14:textId="77777777" w:rsidR="004270F1" w:rsidRDefault="00000000">
      <w:pPr>
        <w:bidi/>
        <w:spacing w:after="160"/>
        <w:ind w:left="504" w:right="504"/>
        <w:jc w:val="both"/>
      </w:pPr>
      <w:r>
        <w:rPr>
          <w:i/>
          <w:iCs/>
          <w:sz w:val="21"/>
          <w:szCs w:val="21"/>
          <w:rtl/>
        </w:rPr>
        <w:t>هرچه تحقق یک زنجیره معنایی در سیاست خارجی به کنش متقابل همان بازیگری وابسته باشد که مرز خصمانه آن گفتمان را می‌سازد، ظرفیت ترجمه آن زنجیره به راهبرد کاهش می‌یابد و وضعیت بیناگفتمانی در آن حوزه تشدید می‌شود. بر این اساس، انتظار می‌رود مفصل‌بندی گفتمان سیاست خارجی دولت سیزدهم در حوزه همسایگی از انسجام راهبردی بیشتری نسبت به حوزه هسته‌ای برخوردار باشد.</w:t>
      </w:r>
    </w:p>
    <w:p w14:paraId="56530A4E" w14:textId="77777777" w:rsidR="004270F1" w:rsidRDefault="00000000">
      <w:pPr>
        <w:bidi/>
        <w:spacing w:after="120"/>
        <w:ind w:firstLine="360"/>
        <w:jc w:val="both"/>
      </w:pPr>
      <w:r>
        <w:rPr>
          <w:rtl/>
        </w:rPr>
        <w:t>این گزاره سه ویژگی دارد که آن را از یک همان‌گویی متمایز می‌کند. نخست، دارای متغیر مستقل مشخص است: میزان وابستگی تحقق به کنش بازیگر خصم. دوم، دارای پیامد قابل ردیابی در داده است: انباشت شروط و تضمین‌خواهی در بازنمایی حوزه وابسته. سوم، ابطال‌پذیر است، به این معنا که اگر تحلیل نشان دهد زنجیره حوزه هسته‌ای به همان اندازه حوزه همسایگی روان و بدون قید مفصل‌بندی شده، یا اگر نشان داده شود حوزه همسایگی نیز به همان اندازه دچار انباشت شرط است، گزاره تضعیف می‌شود.</w:t>
      </w:r>
    </w:p>
    <w:p w14:paraId="4ABF353E" w14:textId="77777777" w:rsidR="004270F1" w:rsidRDefault="00000000">
      <w:pPr>
        <w:pStyle w:val="Heading1"/>
        <w:bidi/>
        <w:spacing w:before="320" w:after="140"/>
      </w:pPr>
      <w:r>
        <w:rPr>
          <w:b/>
          <w:bCs/>
          <w:color w:val="000000"/>
          <w:sz w:val="26"/>
          <w:szCs w:val="26"/>
          <w:rtl/>
        </w:rPr>
        <w:t>۵. روش‌شناسی پژوهش</w:t>
      </w:r>
    </w:p>
    <w:p w14:paraId="246A5C60" w14:textId="77777777" w:rsidR="004270F1" w:rsidRDefault="00000000">
      <w:pPr>
        <w:pStyle w:val="Heading2"/>
        <w:bidi/>
        <w:spacing w:before="240" w:after="100"/>
      </w:pPr>
      <w:r>
        <w:rPr>
          <w:b/>
          <w:bCs/>
          <w:color w:val="000000"/>
          <w:sz w:val="23"/>
          <w:szCs w:val="23"/>
          <w:rtl/>
        </w:rPr>
        <w:t>۵-۱. رویکرد و روش</w:t>
      </w:r>
    </w:p>
    <w:p w14:paraId="1F6681FA" w14:textId="77777777" w:rsidR="004270F1" w:rsidRDefault="00000000">
      <w:pPr>
        <w:bidi/>
        <w:spacing w:after="120"/>
        <w:ind w:firstLine="360"/>
        <w:jc w:val="both"/>
      </w:pPr>
      <w:r>
        <w:rPr>
          <w:rtl/>
        </w:rPr>
        <w:t>رویکرد پژوهش کیفی و تفسیری است و روش آن تحلیل گفتمان بر پایه نظریه لاکلائو و موفه، با بهره‌گیری از راهنمای عملیاتی یورگنسن و فیلیپس برای تبدیل مفاهیم این نظریه به رویه تحلیلی (یورگنسن و فیلیپس، ۱۳۸۹: ۵۵-۸۹) و ملاحظات روش‌شناختی هانسن درباره پیوند بازنمایی و سیاست (Hansen, 2006: 41-72). طراحی پژوهش، مطالعه موردی با مقایسه درون‌موردی است: مورد، گفتمان سیاست خارجی دولت سیزدهم؛ و دو واحد مقایسه، حوزه همسایگی و حوزه هسته‌ای. مزیت این طراحی آن است که متغیرهایی مانند دولت، دوره زمانی، گوینده و ژانر متن، ثابت نگه داشته می‌شوند و تفاوت مشاهده‌شده را نمی‌توان به آن‌ها نسبت داد.</w:t>
      </w:r>
    </w:p>
    <w:p w14:paraId="3A952904" w14:textId="77777777" w:rsidR="004270F1" w:rsidRDefault="00000000">
      <w:pPr>
        <w:pStyle w:val="Heading2"/>
        <w:bidi/>
        <w:spacing w:before="240" w:after="100"/>
      </w:pPr>
      <w:r>
        <w:rPr>
          <w:b/>
          <w:bCs/>
          <w:color w:val="000000"/>
          <w:sz w:val="23"/>
          <w:szCs w:val="23"/>
          <w:rtl/>
        </w:rPr>
        <w:t>۵-۲. پیکره داده و توجیه انتخاب</w:t>
      </w:r>
    </w:p>
    <w:p w14:paraId="07534617" w14:textId="77777777" w:rsidR="004270F1" w:rsidRDefault="00000000">
      <w:pPr>
        <w:bidi/>
        <w:spacing w:after="120"/>
        <w:ind w:firstLine="360"/>
        <w:jc w:val="both"/>
      </w:pPr>
      <w:r>
        <w:rPr>
          <w:rtl/>
        </w:rPr>
        <w:t>پیکره اصلی داده شامل دو سند رسمی سازمان ملل متحد است:</w:t>
      </w:r>
    </w:p>
    <w:p w14:paraId="20B48659" w14:textId="77777777" w:rsidR="004270F1" w:rsidRDefault="00000000">
      <w:pPr>
        <w:pStyle w:val="ListParagraph"/>
        <w:numPr>
          <w:ilvl w:val="0"/>
          <w:numId w:val="1"/>
        </w:numPr>
        <w:bidi/>
        <w:spacing w:after="80"/>
        <w:ind w:right="431"/>
        <w:jc w:val="both"/>
      </w:pPr>
      <w:r>
        <w:rPr>
          <w:rtl/>
        </w:rPr>
        <w:t>سخنرانی رئیس‌جمهور جمهوری اسلامی ایران در هفتادوششمین نشست مجمع عمومی سازمان ملل متحد، سند رسمی A/76/PV.3.</w:t>
      </w:r>
    </w:p>
    <w:p w14:paraId="4892BB54" w14:textId="77777777" w:rsidR="004270F1" w:rsidRDefault="00000000">
      <w:pPr>
        <w:pStyle w:val="ListParagraph"/>
        <w:numPr>
          <w:ilvl w:val="0"/>
          <w:numId w:val="1"/>
        </w:numPr>
        <w:bidi/>
        <w:spacing w:after="80"/>
        <w:ind w:right="431"/>
        <w:jc w:val="both"/>
      </w:pPr>
      <w:r>
        <w:rPr>
          <w:rtl/>
        </w:rPr>
        <w:lastRenderedPageBreak/>
        <w:t>سخنرانی رئیس‌جمهور جمهوری اسلامی ایران در هفتادوهفتمین نشست مجمع عمومی سازمان ملل متحد، سند رسمی A/77/PV.6.</w:t>
      </w:r>
    </w:p>
    <w:p w14:paraId="40296BCB" w14:textId="77777777" w:rsidR="004270F1" w:rsidRDefault="00000000">
      <w:pPr>
        <w:bidi/>
        <w:spacing w:after="120"/>
        <w:ind w:firstLine="360"/>
        <w:jc w:val="both"/>
      </w:pPr>
      <w:r>
        <w:rPr>
          <w:rtl/>
        </w:rPr>
        <w:t>انتخاب این دو متن بر سه ملاک استوار است. نخست، اعتبار سندی: هر دو متن در گزارش رسمی جلسات مجمع عمومی ثبت و منتشر شده‌اند و بنابراین برخلاف بسیاری از سخنرانی‌های داخلی، متن آن‌ها استاندارد، قابل استناد و قابل بازبینی توسط دیگر پژوهشگران است. این ویژگی، شرط بازتولیدپذیری تحلیل را تأمین می‌کند. دوم، جامعیت موضوعی: ژانر سخنرانی مجمع عمومی، گوینده را ملزم می‌کند تا در یک متن واحد به هویت ملی، تصویر نظم جهانی، مناسبات منطقه‌ای و مناقشات جاری بپردازد؛ و این دقیقاً همان دامنه‌ای است که تحلیل حاضر نیازمند آن است. سوم، امکان مقایسه درزمانی: فاصله یک‌ساله میان دو متن، امکان ردیابی جابه‌جایی‌های معنایی را فراهم می‌کند.</w:t>
      </w:r>
    </w:p>
    <w:p w14:paraId="10192244" w14:textId="77777777" w:rsidR="004270F1" w:rsidRDefault="00000000">
      <w:pPr>
        <w:bidi/>
        <w:spacing w:after="120"/>
        <w:ind w:firstLine="360"/>
        <w:jc w:val="both"/>
      </w:pPr>
      <w:r>
        <w:rPr>
          <w:rtl/>
        </w:rPr>
        <w:t>درباره سخنرانی هفتادوهشتمین نشست مجمع عمومی (سپتامبر ۲۰۲۳) باید توضیح داد که این متن آگاهانه از پیکره اصلی کنار گذاشته شده است، زیرا مضمون آن به‌شدت تحت تأثیر تحولات داخلی و منطقه‌ای مقطع خاصی قرار داشت و ورود آن، مقایسه دو حوزه موضوعی مورد نظر را با متغیر مزاحم مواجه می‌کرد. با این حال، در بخش اعتبارسنجی، این متن به‌عنوان منبع کنترلی برای بررسی پایداری الگوی شناسایی‌شده مرور شده است.</w:t>
      </w:r>
    </w:p>
    <w:p w14:paraId="2F44442D" w14:textId="77777777" w:rsidR="004270F1" w:rsidRDefault="00000000">
      <w:pPr>
        <w:pStyle w:val="Heading2"/>
        <w:bidi/>
        <w:spacing w:before="240" w:after="100"/>
      </w:pPr>
      <w:r>
        <w:rPr>
          <w:b/>
          <w:bCs/>
          <w:color w:val="000000"/>
          <w:sz w:val="23"/>
          <w:szCs w:val="23"/>
          <w:rtl/>
        </w:rPr>
        <w:t>۵-۳. اسناد مکمل و مقابله داده</w:t>
      </w:r>
    </w:p>
    <w:p w14:paraId="68F83209" w14:textId="77777777" w:rsidR="004270F1" w:rsidRDefault="00000000">
      <w:pPr>
        <w:bidi/>
        <w:spacing w:after="120"/>
        <w:ind w:firstLine="360"/>
        <w:jc w:val="both"/>
      </w:pPr>
      <w:r>
        <w:rPr>
          <w:rtl/>
        </w:rPr>
        <w:t>مهم‌ترین محدودیت تحلیل مبتنی بر متن سخنرانی آن است که با آن نمی‌توان درباره لایه سوم، یعنی ترجمه‌پذیری، داوری کرد. سخنرانی، شاهدی بر گفتار است نه بر کنش. برای رفع این محدودیت، تحلیل لایه سوم بر پیکره مکملی استوار شده است که شامل این موارد است: اسناد و اعلامیه‌های مشترک همکاری با کشورهای همسایه در بازه ۱۴۰۰ تا ۱۴۰۳؛ اسناد مربوط به عضویت ایران در سازمان همکاری شانگهای و فرایند الحاق به بریکس؛ گزارش‌های دوره‌ای آژانس بین‌المللی انرژی اتمی درباره اجرای پادمان‌ها در ایران؛ و بیانیه‌های رسمی طرفین درباره دورهای مذاکرات احیای برجام. این اسناد نه به‌عنوان داده گفتمانی، بلکه به‌عنوان شواهد رفتاری برای سنجش انطباق میان زنجیره معنایی و نتیجه عملی به کار رفته‌اند.</w:t>
      </w:r>
    </w:p>
    <w:p w14:paraId="14A46C3F" w14:textId="77777777" w:rsidR="004270F1" w:rsidRDefault="00000000">
      <w:pPr>
        <w:pStyle w:val="Heading2"/>
        <w:bidi/>
        <w:spacing w:before="240" w:after="100"/>
      </w:pPr>
      <w:r>
        <w:rPr>
          <w:b/>
          <w:bCs/>
          <w:color w:val="000000"/>
          <w:sz w:val="23"/>
          <w:szCs w:val="23"/>
          <w:rtl/>
        </w:rPr>
        <w:t>۵-۴. واحد تحلیل و فرایند کدگذاری</w:t>
      </w:r>
    </w:p>
    <w:p w14:paraId="02D972B9" w14:textId="77777777" w:rsidR="004270F1" w:rsidRDefault="00000000">
      <w:pPr>
        <w:bidi/>
        <w:spacing w:after="120"/>
        <w:ind w:firstLine="360"/>
        <w:jc w:val="both"/>
      </w:pPr>
      <w:r>
        <w:rPr>
          <w:rtl/>
        </w:rPr>
        <w:t>واحد تحلیل، «گزاره» است؛ یعنی کوچک‌ترین قطعه معنادار متن که یک نسبت میان دو یا چند مفهوم برقرار می‌کند. فرایند تحلیل در چهار مرحله انجام شده است.</w:t>
      </w:r>
    </w:p>
    <w:p w14:paraId="6B12E1C5" w14:textId="77777777" w:rsidR="004270F1" w:rsidRDefault="00000000">
      <w:pPr>
        <w:bidi/>
        <w:spacing w:after="120"/>
        <w:ind w:firstLine="360"/>
        <w:jc w:val="both"/>
      </w:pPr>
      <w:r>
        <w:rPr>
          <w:rtl/>
        </w:rPr>
        <w:t>در مرحله نخست، هر دو متن به‌صورت کامل و به زبان اصلی سند رسمی مطالعه و گزاره‌های مرتبط با دوازده مقوله اولیه استخراج شدند: استقلال، عدالت، آزادی، حق تعیین سرنوشت، سلطه و هژمونی، امنیت منطقه‌ای، همکاری منطقه‌ای، تحریم، مذاکره، پرونده هسته‌ای، چندجانبه‌گرایی، و نظم جهانی. این فهرست بر پایه مرور مقدماتی متون و ادبیات پیشین تدوین شد و در جریان کدگذاری، دو مقوله «تضمین/اعتماد» و «تجربه/سابقه» نیز به آن افزوده شد، زیرا در متن بسامد معناداری داشتند و در فهرست اولیه پیش‌بینی نشده بودند.</w:t>
      </w:r>
    </w:p>
    <w:p w14:paraId="4E6C361C" w14:textId="77777777" w:rsidR="004270F1" w:rsidRDefault="00000000">
      <w:pPr>
        <w:bidi/>
        <w:spacing w:after="120"/>
        <w:ind w:firstLine="360"/>
        <w:jc w:val="both"/>
      </w:pPr>
      <w:r>
        <w:rPr>
          <w:rtl/>
        </w:rPr>
        <w:t>در مرحله دوم، گزاره‌ها بر اساس هم‌نشینی مکرر، در خوشه‌های معنایی گروه‌بندی و زنجیره‌های هم‌ارزی اولیه ترسیم شدند. ملاک تشخیص هم‌ارزی، هم‌نشینی دو دال در یک گزاره یا در گزاره‌های مجاور با کارکرد نحوی تقویت‌کننده بود.</w:t>
      </w:r>
    </w:p>
    <w:p w14:paraId="28649E2D" w14:textId="77777777" w:rsidR="004270F1" w:rsidRDefault="00000000">
      <w:pPr>
        <w:bidi/>
        <w:spacing w:after="120"/>
        <w:ind w:firstLine="360"/>
        <w:jc w:val="both"/>
      </w:pPr>
      <w:r>
        <w:rPr>
          <w:rtl/>
        </w:rPr>
        <w:t>در مرحله سوم، مرزهای خصمانه با شناسایی گزاره‌هایی که یک عامل را مانع تحقق زنجیره معرفی می‌کنند، مشخص شد.</w:t>
      </w:r>
    </w:p>
    <w:p w14:paraId="3714DB32" w14:textId="77777777" w:rsidR="004270F1" w:rsidRDefault="00000000">
      <w:pPr>
        <w:bidi/>
        <w:spacing w:after="120"/>
        <w:ind w:firstLine="360"/>
        <w:jc w:val="both"/>
      </w:pPr>
      <w:r>
        <w:rPr>
          <w:rtl/>
        </w:rPr>
        <w:t>در مرحله چهارم، زنجیره‌های هر حوزه با شواهد رفتاری پیکره مکمل مقابله و نقاط انطباق و عدم انطباق ثبت شد.</w:t>
      </w:r>
    </w:p>
    <w:p w14:paraId="3629E581" w14:textId="77777777" w:rsidR="004270F1" w:rsidRDefault="00000000">
      <w:pPr>
        <w:pStyle w:val="Heading2"/>
        <w:bidi/>
        <w:spacing w:before="240" w:after="100"/>
      </w:pPr>
      <w:r>
        <w:rPr>
          <w:b/>
          <w:bCs/>
          <w:color w:val="000000"/>
          <w:sz w:val="23"/>
          <w:szCs w:val="23"/>
          <w:rtl/>
        </w:rPr>
        <w:lastRenderedPageBreak/>
        <w:t>۵-۵. اعتبار و اعتمادپذیری</w:t>
      </w:r>
    </w:p>
    <w:p w14:paraId="005665A0" w14:textId="77777777" w:rsidR="004270F1" w:rsidRDefault="00000000">
      <w:pPr>
        <w:bidi/>
        <w:spacing w:after="120"/>
        <w:ind w:firstLine="360"/>
        <w:jc w:val="both"/>
      </w:pPr>
      <w:r>
        <w:rPr>
          <w:rtl/>
        </w:rPr>
        <w:t>از آنجا که معیارهای روایی و پایایی کمّی در پژوهش تفسیری کاربرد ندارند، سه تدبیر برای تأمین اعتمادپذیری اتخاذ شده است. نخست، شفافیت مسیر استدلال: هر ادعای تحلیلی در بخش یافته‌ها به گزاره یا گزاره‌های مشخصی از متن ارجاع داده شده است تا خواننده بتواند استنتاج را ردیابی و در صورت لزوم به چالش بکشد؛ این همان معیاری است که میلیکن آن را شرط اعتبار پژوهش گفتمانی می‌داند (Milliken, 1999: 233-235). دوم، کدگذاری مستقل: دو نویسنده مقاله به‌صورت جداگانه متون را کدگذاری کردند و موارد اختلاف از طریق بازگشت به متن و توافق بر تعریف عملیاتی مقوله رفع شد. سوم، جست‌وجوی شواهد ناقض: در هر بخش تحلیل، آگاهانه به دنبال گزاره‌هایی گشته‌ایم که گزاره پژوهش را تضعیف می‌کنند و این موارد در متن گزارش شده‌اند.</w:t>
      </w:r>
    </w:p>
    <w:p w14:paraId="0D8563D9" w14:textId="77777777" w:rsidR="004270F1" w:rsidRDefault="00000000">
      <w:pPr>
        <w:pStyle w:val="Heading2"/>
        <w:bidi/>
        <w:spacing w:before="240" w:after="100"/>
      </w:pPr>
      <w:r>
        <w:rPr>
          <w:b/>
          <w:bCs/>
          <w:color w:val="000000"/>
          <w:sz w:val="23"/>
          <w:szCs w:val="23"/>
          <w:rtl/>
        </w:rPr>
        <w:t>۵-۶. حدود و محدودیت‌های پژوهش</w:t>
      </w:r>
    </w:p>
    <w:p w14:paraId="51544291" w14:textId="77777777" w:rsidR="004270F1" w:rsidRDefault="00000000">
      <w:pPr>
        <w:bidi/>
        <w:spacing w:after="120"/>
        <w:ind w:firstLine="360"/>
        <w:jc w:val="both"/>
      </w:pPr>
      <w:r>
        <w:rPr>
          <w:rtl/>
        </w:rPr>
        <w:t>حدود زمانی پژوهش، دوره فعالیت دولت سیزدهم (مرداد ۱۴۰۰ تا مرداد ۱۴۰۳) با تمرکز بر دو مقطع سپتامبر ۲۰۲۱ و سپتامبر ۲۰۲۲ است. حدود مکانی، سطح سیاست خارجی جمهوری اسلامی ایران در دو قلمرو غرب آسیا و نظام چندجانبه بین‌المللی است. حدود مفهومی، بر مفصل‌بندی گفتمانی و ترجمه‌پذیری راهبردی متمرکز است و مدعی تبیین جامع سیاست خارجی این دوره نیست.</w:t>
      </w:r>
    </w:p>
    <w:p w14:paraId="288A8881" w14:textId="77777777" w:rsidR="004270F1" w:rsidRDefault="00000000">
      <w:pPr>
        <w:bidi/>
        <w:spacing w:after="120"/>
        <w:ind w:firstLine="360"/>
        <w:jc w:val="both"/>
      </w:pPr>
      <w:r>
        <w:rPr>
          <w:rtl/>
        </w:rPr>
        <w:t>سه محدودیت باید صریحاً ذکر شود. نخست، پیکره داده گفتمانی محدود به دو متن است و بنابراین یافته‌ها را نمی‌توان بدون احتیاط به کل گفتمان دولت سیزدهم تعمیم داد. دوم، ژانر سخنرانی مجمع عمومی، ژانری با مخاطب بین‌المللی و کارکرد تشریفاتی است و متن آن ناگزیر از عناصر آیینی و مخاطب‌محور تأثیر می‌پذیرد؛ بنابراین این متون بازتاب مستقیم فرایندهای تصمیم‌گیری داخلی نیستند. سوم، دسترسی به اسناد غیرعلنی تصمیم‌گیری ممکن نبوده و بنابراین استدلال درباره لایه سوم بر شواهد بیرونی و در دسترس عموم استوار است.</w:t>
      </w:r>
    </w:p>
    <w:p w14:paraId="65A38205" w14:textId="77777777" w:rsidR="004270F1" w:rsidRDefault="00000000">
      <w:pPr>
        <w:pStyle w:val="Heading1"/>
        <w:bidi/>
        <w:spacing w:before="320" w:after="140"/>
      </w:pPr>
      <w:r>
        <w:rPr>
          <w:b/>
          <w:bCs/>
          <w:color w:val="000000"/>
          <w:sz w:val="26"/>
          <w:szCs w:val="26"/>
          <w:rtl/>
        </w:rPr>
        <w:t>۶. یافته‌ها: تحلیل گفتمانی دو سند</w:t>
      </w:r>
    </w:p>
    <w:p w14:paraId="4CBFECC2" w14:textId="77777777" w:rsidR="004270F1" w:rsidRDefault="00000000">
      <w:pPr>
        <w:bidi/>
        <w:spacing w:after="120"/>
        <w:ind w:firstLine="360"/>
        <w:jc w:val="both"/>
      </w:pPr>
      <w:r>
        <w:rPr>
          <w:rtl/>
        </w:rPr>
        <w:t>در این بخش، یافته‌های تحلیل در شش محور ارائه می‌شود. ارجاع هر ادعای تحلیلی به سند مربوط، درون متن آمده است تا مسیر استنتاج قابل ردیابی باشد. برگردان گزاره‌ها از متن رسمی، از نگارندگان است.</w:t>
      </w:r>
    </w:p>
    <w:p w14:paraId="79EA9A60" w14:textId="77777777" w:rsidR="004270F1" w:rsidRDefault="00000000">
      <w:pPr>
        <w:pStyle w:val="Heading2"/>
        <w:bidi/>
        <w:spacing w:before="240" w:after="100"/>
      </w:pPr>
      <w:r>
        <w:rPr>
          <w:b/>
          <w:bCs/>
          <w:color w:val="000000"/>
          <w:sz w:val="23"/>
          <w:szCs w:val="23"/>
          <w:rtl/>
        </w:rPr>
        <w:t>۶-۱. ساخت «خود»: هویت به‌مثابه تجربه تاریخی</w:t>
      </w:r>
    </w:p>
    <w:p w14:paraId="38315527" w14:textId="77777777" w:rsidR="004270F1" w:rsidRDefault="00000000">
      <w:pPr>
        <w:bidi/>
        <w:spacing w:after="120"/>
        <w:ind w:firstLine="360"/>
        <w:jc w:val="both"/>
      </w:pPr>
      <w:r>
        <w:rPr>
          <w:rtl/>
        </w:rPr>
        <w:t>نخستین لایه تحلیل، نحوه بازنمایی ایران به‌عنوان «خود» است. در سند A/76/PV.3، ایران در سه ثبت معنایی بازنمایی می‌شود که هر سه به‌جای تعریف هویت بر پایه ویژگی‌های ثابت، آن را بر پایه یک روایت تاریخی بنا می‌کنند.</w:t>
      </w:r>
    </w:p>
    <w:p w14:paraId="579C91CF" w14:textId="77777777" w:rsidR="004270F1" w:rsidRDefault="00000000">
      <w:pPr>
        <w:bidi/>
        <w:spacing w:after="120"/>
        <w:ind w:firstLine="360"/>
        <w:jc w:val="both"/>
      </w:pPr>
      <w:r>
        <w:rPr>
          <w:rtl/>
        </w:rPr>
        <w:t>ثبت نخست، ثبت تمدنی است. ایران به‌عنوان موجودیتی معرفی می‌شود که پیشینه فرهنگی و تمدنی آن بر موجودیت سیاسی کنونی‌اش تقدم دارد. کارکرد گفتمانی این بازنمایی، بیرون کشیدن ایران از مقوله «دولت» و قرار دادن آن در مقوله «تمدن» است؛ حرکتی که پیامد مهمی دارد: تمدن، برخلاف دولت، در نظام بین‌الملل امروز فاقد جایگاه حقوقی تعریف‌شده است و همین امر به گفتمان اجازه می‌دهد از موضعی سخن بگوید که مقدم بر قواعد موجود است.</w:t>
      </w:r>
    </w:p>
    <w:p w14:paraId="2C928778" w14:textId="77777777" w:rsidR="004270F1" w:rsidRDefault="00000000">
      <w:pPr>
        <w:bidi/>
        <w:spacing w:after="120"/>
        <w:ind w:firstLine="360"/>
        <w:jc w:val="both"/>
      </w:pPr>
      <w:r>
        <w:rPr>
          <w:rtl/>
        </w:rPr>
        <w:t>ثبت دوم، ثبت مردمی است. متن سال ۲۰۲۱ به مشارکت مردم و به مبنای مردمی حاکمیت ارجاع می‌دهد و از این طریق، «حق تعیین سرنوشت» را نه صرفاً به‌عنوان یک اصل حقوقی بین‌المللی، بلکه به‌عنوان ویژگی سازنده هویت داخلی صورت‌بندی می‌کند (A/76/PV.3). اهمیت این حرکت آن است که یک دال حقوقی بین‌المللی را به یک دال هویتی تبدیل می‌کند و بدین ترتیب، نقض آن از سوی دیگران، نه صرفاً تخلف حقوقی بلکه تعرض هویتی معنا می‌یابد.</w:t>
      </w:r>
    </w:p>
    <w:p w14:paraId="0C63D532" w14:textId="77777777" w:rsidR="004270F1" w:rsidRDefault="00000000">
      <w:pPr>
        <w:bidi/>
        <w:spacing w:after="120"/>
        <w:ind w:firstLine="360"/>
        <w:jc w:val="both"/>
      </w:pPr>
      <w:r>
        <w:rPr>
          <w:rtl/>
        </w:rPr>
        <w:lastRenderedPageBreak/>
        <w:t>ثبت سوم، و از نظر تحلیلی مهم‌ترین آن‌ها، ثبت تجربه است. متن، ایران را به‌عنوان کنشگری بازنمایی می‌کند که «آزموده است»؛ یعنی هویت او نه از اعلام مواضع، بلکه از سرگذشتن از فشار حداکثری، تحریم و جنگ حاصل شده است (A/76/PV.3). دال «تجربه» در این متن یک عملگر مشروعیت‌بخش است: هر ادعایی که به تجربه مستند شود، از الزام استدلال نظری معاف می‌گردد. همان‌گونه که در بخش ۶-۵ نشان داده خواهد شد، همین عملگر بعدها کارکرد حیاتی‌ای در مهار تعارض درونی گفتمان در حوزه هسته‌ای پیدا می‌کند.</w:t>
      </w:r>
    </w:p>
    <w:p w14:paraId="6CF6A764" w14:textId="77777777" w:rsidR="004270F1" w:rsidRDefault="00000000">
      <w:pPr>
        <w:bidi/>
        <w:spacing w:after="120"/>
        <w:ind w:firstLine="360"/>
        <w:jc w:val="both"/>
      </w:pPr>
      <w:r>
        <w:rPr>
          <w:rtl/>
        </w:rPr>
        <w:t>بر این اساس، زنجیره هم‌ارزی «خود» را می‌توان چنین بازسازی کرد:</w:t>
      </w:r>
    </w:p>
    <w:p w14:paraId="4D80AB6D" w14:textId="77777777" w:rsidR="004270F1" w:rsidRDefault="00000000">
      <w:pPr>
        <w:bidi/>
        <w:spacing w:after="160"/>
        <w:jc w:val="center"/>
      </w:pPr>
      <w:r>
        <w:rPr>
          <w:b/>
          <w:bCs/>
          <w:sz w:val="21"/>
          <w:szCs w:val="21"/>
          <w:rtl/>
        </w:rPr>
        <w:t>ایران ← تمدن و فرهنگ ← استقلال ← تجربه مقاومت ← حق تعیین سرنوشت ← اقتدار</w:t>
      </w:r>
    </w:p>
    <w:p w14:paraId="5C3D576D" w14:textId="77777777" w:rsidR="004270F1" w:rsidRDefault="00000000">
      <w:pPr>
        <w:bidi/>
        <w:spacing w:after="120"/>
        <w:ind w:firstLine="360"/>
        <w:jc w:val="both"/>
      </w:pPr>
      <w:r>
        <w:rPr>
          <w:rtl/>
        </w:rPr>
        <w:t>در این زنجیره، «استقلال» موقعیت نقطه گره‌ای دارد؛ یعنی سایر دال‌ها معنای خود را از نسبتی که با آن برقرار می‌کنند به دست می‌آورند. استقلال در اینجا از یک هدف سیاست خارجی فراتر می‌رود و به شرط امکان هویت سیاسی بدل می‌شود. پیامد تحلیلی این نکته آن است که هر سیاستی که بتواند به‌مثابه تحدید استقلال بازنمایی شود، پیش از ورود به محاسبه سود و زیان، از میدان امکان‌های مشروع خارج می‌گردد.</w:t>
      </w:r>
    </w:p>
    <w:p w14:paraId="384FE0D7" w14:textId="77777777" w:rsidR="004270F1" w:rsidRDefault="00000000">
      <w:pPr>
        <w:pStyle w:val="Heading2"/>
        <w:bidi/>
        <w:spacing w:before="240" w:after="100"/>
      </w:pPr>
      <w:r>
        <w:rPr>
          <w:b/>
          <w:bCs/>
          <w:color w:val="000000"/>
          <w:sz w:val="23"/>
          <w:szCs w:val="23"/>
          <w:rtl/>
        </w:rPr>
        <w:t>۶-۲. ساخت «دیگری» و ترسیم مرز خصمانه</w:t>
      </w:r>
    </w:p>
    <w:p w14:paraId="6B7175B0" w14:textId="77777777" w:rsidR="004270F1" w:rsidRDefault="00000000">
      <w:pPr>
        <w:bidi/>
        <w:spacing w:after="120"/>
        <w:ind w:firstLine="360"/>
        <w:jc w:val="both"/>
      </w:pPr>
      <w:r>
        <w:rPr>
          <w:rtl/>
        </w:rPr>
        <w:t>هیچ زنجیره هم‌ارزی بدون یک «بیرون سازنده» تثبیت نمی‌شود (Laclau &amp; Mouffe, 2001: 125). در هر دو سند، این بیرونِ سازنده با دال «سلطه» نام‌گذاری می‌شود و از طریق مجموعه‌ای از دال‌های هم‌ارز بسط می‌یابد.</w:t>
      </w:r>
    </w:p>
    <w:p w14:paraId="7ABCDC1E" w14:textId="77777777" w:rsidR="004270F1" w:rsidRDefault="00000000">
      <w:pPr>
        <w:bidi/>
        <w:spacing w:after="120"/>
        <w:ind w:firstLine="360"/>
        <w:jc w:val="both"/>
      </w:pPr>
      <w:r>
        <w:rPr>
          <w:rtl/>
        </w:rPr>
        <w:t>در سند A/76/PV.3، سلطه از طریق چهار مصداق بازنمایی می‌شود: یکجانبه‌گرایی، مداخله نظامی، تحریم و تحمیل الگوی سیاسی. متن، ناکامی پروژه تحمیل الگوی سیاسی از بیرون را با ارجاع به تجربه منطقه‌ای مستند می‌کند و تحریم را نه ابزار دیپلماتیک بلکه شکل تازه‌ای از جنگ علیه ملت‌ها معرفی می‌کند (A/76/PV.3). این بازتعریف، از منظر تحلیل گفتمان بسیار مهم است: انتقال تحریم از مقوله «ابزار چانه‌زنی» به مقوله «جنگ»، آن را از میدان موضوعات قابل مذاکره خارج و به میدان موضوعات هویتی وارد می‌کند.</w:t>
      </w:r>
    </w:p>
    <w:p w14:paraId="3A555C6A" w14:textId="77777777" w:rsidR="004270F1" w:rsidRDefault="00000000">
      <w:pPr>
        <w:bidi/>
        <w:spacing w:after="120"/>
        <w:ind w:firstLine="360"/>
        <w:jc w:val="both"/>
      </w:pPr>
      <w:r>
        <w:rPr>
          <w:rtl/>
        </w:rPr>
        <w:t>زنجیره «دیگری» را می‌توان چنین بازسازی کرد:</w:t>
      </w:r>
    </w:p>
    <w:p w14:paraId="77C72F89" w14:textId="77777777" w:rsidR="004270F1" w:rsidRDefault="00000000">
      <w:pPr>
        <w:bidi/>
        <w:spacing w:after="160"/>
        <w:jc w:val="center"/>
      </w:pPr>
      <w:r>
        <w:rPr>
          <w:b/>
          <w:bCs/>
          <w:sz w:val="21"/>
          <w:szCs w:val="21"/>
          <w:rtl/>
        </w:rPr>
        <w:t>سلطه ← یکجانبه‌گرایی ← مداخله ← تحریم ← بی‌ثباتی ← تبعیض</w:t>
      </w:r>
    </w:p>
    <w:p w14:paraId="2F77A397" w14:textId="77777777" w:rsidR="004270F1" w:rsidRDefault="00000000">
      <w:pPr>
        <w:bidi/>
        <w:spacing w:after="120"/>
        <w:ind w:firstLine="360"/>
        <w:jc w:val="both"/>
      </w:pPr>
      <w:r>
        <w:rPr>
          <w:rtl/>
        </w:rPr>
        <w:t>نکته تحلیلی کلیدی در این محور، تمایزی است که متن میان دو سطح «دیگری» برقرار می‌کند و در عین حال نمی‌تواند آن را حفظ کند. در سطح نخست، دیگری یک منطق انتزاعی است: منطق سلطه. این انتزاع کارکرد گفتمانی روشنی دارد؛ زیرا امکان می‌دهد زنجیره هم‌ارزی فراتر از ایران گسترش یابد و همه ملت‌هایی که خود را زیر فشار می‌بینند، در آن جای گیرند. به بیان لاکلائو، هرچه دامنه زنجیره هم‌ارزی گسترده‌تر شود، ظرفیت هژمونیک گفتمان بیشتر می‌گردد (Laclau, 2005: 74). در سطح دوم اما، این منطق انتزاعی ناگزیر در یک بازیگر مشخص تجسد می‌یابد: ایالات متحده. متن، مصادیق سلطه را عمدتاً به سیاست‌های این کشور نسبت می‌دهد.</w:t>
      </w:r>
    </w:p>
    <w:p w14:paraId="1BCBA569" w14:textId="77777777" w:rsidR="004270F1" w:rsidRDefault="00000000">
      <w:pPr>
        <w:bidi/>
        <w:spacing w:after="120"/>
        <w:ind w:firstLine="360"/>
        <w:jc w:val="both"/>
      </w:pPr>
      <w:r>
        <w:rPr>
          <w:rtl/>
        </w:rPr>
        <w:t>این دوسطحی بودن، مسئله‌ای تولید می‌کند که هسته استدلال این مقاله است. تا زمانی که دیگری در سطح انتزاعی باقی بماند، گفتمان می‌تواند هم‌زمان منسجم و منعطف باشد. اما در حوزه‌هایی که تحقق مطالبه، مستلزم توافق با بازیگر متجسد است، گفتمان با یک تنگنا روبه‌رو می‌شود: کنشِ لازم برای تحقق مطالبه، خودْ زنجیره را تهدید می‌کند. این همان چیزی است که در بخش ۳-۲ «بی‌قراری درون‌زا» نامیده شد.</w:t>
      </w:r>
    </w:p>
    <w:p w14:paraId="6E95608B" w14:textId="77777777" w:rsidR="004270F1" w:rsidRDefault="00000000">
      <w:pPr>
        <w:pStyle w:val="Heading2"/>
        <w:bidi/>
        <w:spacing w:before="240" w:after="100"/>
      </w:pPr>
      <w:r>
        <w:rPr>
          <w:b/>
          <w:bCs/>
          <w:color w:val="000000"/>
          <w:sz w:val="23"/>
          <w:szCs w:val="23"/>
          <w:rtl/>
        </w:rPr>
        <w:t>۶-۳. «عدالت»: از نقطه گره‌ای تا دال تهی</w:t>
      </w:r>
    </w:p>
    <w:p w14:paraId="73A5A58F" w14:textId="77777777" w:rsidR="004270F1" w:rsidRDefault="00000000">
      <w:pPr>
        <w:bidi/>
        <w:spacing w:after="120"/>
        <w:ind w:firstLine="360"/>
        <w:jc w:val="both"/>
      </w:pPr>
      <w:r>
        <w:rPr>
          <w:rtl/>
        </w:rPr>
        <w:lastRenderedPageBreak/>
        <w:t>یکی از تفاوت‌های محسوس دو سند، جایگاه دال «عدالت» است. در سند A/76/PV.3، عدالت در کنار سایر دال‌ها و عمدتاً در پیوند با حقوق ملت‌ها ظاهر می‌شود. در سند A/77/PV.6، عدالت به موقعیت مرکزی روایت منتقل می‌شود و متن، عدالت‌خواهی را نه مطالبه‌ای ملی بلکه خواستی جهان‌شمول معرفی می‌کند که ملت‌های گوناگون در آن شریک‌اند (A/77/PV.6).</w:t>
      </w:r>
    </w:p>
    <w:p w14:paraId="34CD62E6" w14:textId="77777777" w:rsidR="004270F1" w:rsidRDefault="00000000">
      <w:pPr>
        <w:bidi/>
        <w:spacing w:after="120"/>
        <w:ind w:firstLine="360"/>
        <w:jc w:val="both"/>
      </w:pPr>
      <w:r>
        <w:rPr>
          <w:rtl/>
        </w:rPr>
        <w:t>از منظر نظری، این جابه‌جایی معنادار است. عدالت در سند دوم دیگر یک دال در میان دال‌های دیگر نیست، بلکه دالی است که کلیت زنجیره را بازنمایی می‌کند: مقابله با تبعیض، حقوق ملت‌ها، صلح، اصلاح نظم بین‌المللی و نفی سلطه، همگی زیر آن گرد می‌آیند. این دقیقاً کارکردی است که لاکلائو برای «دال تهی» تعریف می‌کند: دالی که به دلیل عدم تعیّن محتوای مثبت خود، توان بازنمایی کلیت یک زنجیره را می‌یابد (Laclau, 1996: 44). بنابراین، تحلیل حاضر برخلاف بخشی از ادبیات موجود، «عدالت» را در این گفتمان نقطه گره‌ای نمی‌داند؛ نقطه گره‌ای همچنان «استقلال» است، اما عدالت کارکردی متفاوت و از منظر ظرفیت هژمونیک، مهم‌تر دارد.</w:t>
      </w:r>
    </w:p>
    <w:p w14:paraId="4657E673" w14:textId="77777777" w:rsidR="004270F1" w:rsidRDefault="00000000">
      <w:pPr>
        <w:bidi/>
        <w:spacing w:after="120"/>
        <w:ind w:firstLine="360"/>
        <w:jc w:val="both"/>
      </w:pPr>
      <w:r>
        <w:rPr>
          <w:rtl/>
        </w:rPr>
        <w:t>با این حال، تحلیل شواهد ناقض نیز نکته‌ای مهم آشکار می‌کند. در همان سند، عدالت هم‌زمان به یک دادخواهی مشخص و انضمامی گره می‌خورد (A/77/PV.6). از منظر نظریه لاکلائو، این پیوند یک تنش تولید می‌کند: هرچه دال تهی به محتوای خاص و انضمامی نزدیک‌تر شود، توان جهان‌شمول‌سازی آن کاهش می‌یابد (Laclau, 1996: 42-43). بنابراین، متن هم‌زمان دو حرکت متضاد انجام می‌دهد: عدالت را جهانی می‌کند و آن را به یک مطالبه ملی خاص می‌بندد. این تنش، یکی از نشانه‌های تثبیت ناقص هژمونیک است.</w:t>
      </w:r>
    </w:p>
    <w:p w14:paraId="35309BE6" w14:textId="77777777" w:rsidR="004270F1" w:rsidRDefault="00000000">
      <w:pPr>
        <w:pStyle w:val="Heading2"/>
        <w:bidi/>
        <w:spacing w:before="240" w:after="100"/>
      </w:pPr>
      <w:r>
        <w:rPr>
          <w:b/>
          <w:bCs/>
          <w:color w:val="000000"/>
          <w:sz w:val="23"/>
          <w:szCs w:val="23"/>
          <w:rtl/>
        </w:rPr>
        <w:t>۶-۴. حوزه همسایگی: زنجیره‌ای بدون تعارض درونی</w:t>
      </w:r>
    </w:p>
    <w:p w14:paraId="24D9A365" w14:textId="77777777" w:rsidR="004270F1" w:rsidRDefault="00000000">
      <w:pPr>
        <w:bidi/>
        <w:spacing w:after="120"/>
        <w:ind w:firstLine="360"/>
        <w:jc w:val="both"/>
      </w:pPr>
      <w:r>
        <w:rPr>
          <w:rtl/>
        </w:rPr>
        <w:t>سیاست همسایگی، محور اعلامی سیاست خارجی دولت سیزدهم بود. تحلیل دو سند نشان می‌دهد که این حوزه در گفتمان رسمی، زنجیره‌ای نسبتاً روان و کم‌قید دارد:</w:t>
      </w:r>
    </w:p>
    <w:p w14:paraId="4C5E0F31" w14:textId="77777777" w:rsidR="004270F1" w:rsidRDefault="00000000">
      <w:pPr>
        <w:bidi/>
        <w:spacing w:after="160"/>
        <w:jc w:val="center"/>
      </w:pPr>
      <w:r>
        <w:rPr>
          <w:b/>
          <w:bCs/>
          <w:sz w:val="21"/>
          <w:szCs w:val="21"/>
          <w:rtl/>
        </w:rPr>
        <w:t>همسایگی ← گفت‌وگو ← همکاری اقتصادی ← امنیت بومی ← کاهش حضور بازیگران فرامنطقه‌ای</w:t>
      </w:r>
    </w:p>
    <w:p w14:paraId="4F7998CD" w14:textId="77777777" w:rsidR="004270F1" w:rsidRDefault="00000000">
      <w:pPr>
        <w:bidi/>
        <w:spacing w:after="120"/>
        <w:ind w:firstLine="360"/>
        <w:jc w:val="both"/>
      </w:pPr>
      <w:r>
        <w:rPr>
          <w:rtl/>
        </w:rPr>
        <w:t>سه ویژگی این زنجیره را از زنجیره حوزه هسته‌ای متمایز می‌کند.</w:t>
      </w:r>
    </w:p>
    <w:p w14:paraId="06E7CDB0" w14:textId="77777777" w:rsidR="004270F1" w:rsidRDefault="00000000">
      <w:pPr>
        <w:bidi/>
        <w:spacing w:after="120"/>
        <w:ind w:firstLine="360"/>
        <w:jc w:val="both"/>
      </w:pPr>
      <w:r>
        <w:rPr>
          <w:rtl/>
        </w:rPr>
        <w:t>نخست، سازگاری با زنجیره هویتی. «امنیت بومی» و «کاهش حضور فرامنطقه‌ای» مستقیماً از دال «استقلال» مشتق می‌شوند. بنابراین همکاری با همسایگان نه‌تنها زنجیره هویتی را تهدید نمی‌کند، بلکه آن را تقویت می‌کند. کنش و معنا در یک جهت قرار دارند.</w:t>
      </w:r>
    </w:p>
    <w:p w14:paraId="05CA8AEB" w14:textId="77777777" w:rsidR="004270F1" w:rsidRDefault="00000000">
      <w:pPr>
        <w:bidi/>
        <w:spacing w:after="120"/>
        <w:ind w:firstLine="360"/>
        <w:jc w:val="both"/>
      </w:pPr>
      <w:r>
        <w:rPr>
          <w:rtl/>
        </w:rPr>
        <w:t>دوم، موقعیت گفتمانی همسایگان. همسایگان در این متون در جایگاه «دیگری خصم» قرار نمی‌گیرند؛ بلکه به‌عنوان کنشگرانی بازنمایی می‌شوند که آنان نیز از پیامدهای مداخله بیرونی آسیب دیده‌اند. به بیان فنی، آن‌ها نامزدهای بالقوه عضویت در همان زنجیره هم‌ارزی‌اند. این امر یکی از شروط لازم برای گسترش هژمونیک است (Howarth, 2000: 106-110).</w:t>
      </w:r>
    </w:p>
    <w:p w14:paraId="464012C4" w14:textId="77777777" w:rsidR="004270F1" w:rsidRDefault="00000000">
      <w:pPr>
        <w:bidi/>
        <w:spacing w:after="120"/>
        <w:ind w:firstLine="360"/>
        <w:jc w:val="both"/>
      </w:pPr>
      <w:r>
        <w:rPr>
          <w:rtl/>
        </w:rPr>
        <w:t>سوم، کم‌بودن قیود. برخلاف حوزه هسته‌ای، گزاره‌های مربوط به همسایگی در هر دو سند با شرط، تضمین‌خواهی یا پیش‌نیاز همراه نیستند. زبان این بخش، زبان دعوت است نه زبان مطالبه مشروط.</w:t>
      </w:r>
    </w:p>
    <w:p w14:paraId="231CC84A" w14:textId="77777777" w:rsidR="004270F1" w:rsidRDefault="00000000">
      <w:pPr>
        <w:bidi/>
        <w:spacing w:after="120"/>
        <w:ind w:firstLine="360"/>
        <w:jc w:val="both"/>
      </w:pPr>
      <w:r>
        <w:rPr>
          <w:rtl/>
        </w:rPr>
        <w:t>مقابله این زنجیره با پیکره مکمل، انطباق نسبتاً بالایی را نشان می‌دهد. عضویت کامل ایران در سازمان همکاری شانگهای در سال ۲۰۲۳، فرایند الحاق به گروه بریکس، از سرگیری روابط دیپلماتیک با عربستان سعودی در چارچوب توافق پکن در مارس ۲۰۲۳، و گسترش موافقت‌نامه‌های تجاری و مرزی با همسایگان، همگی مصادیقی از ترجمه معنا به کنش‌اند. به بیان مدل تحلیلی، لایه سوم در این حوزه با لایه دوم انطباق قابل توجهی دارد.</w:t>
      </w:r>
    </w:p>
    <w:p w14:paraId="223C859E" w14:textId="77777777" w:rsidR="004270F1" w:rsidRDefault="00000000">
      <w:pPr>
        <w:bidi/>
        <w:spacing w:after="120"/>
        <w:ind w:firstLine="360"/>
        <w:jc w:val="both"/>
      </w:pPr>
      <w:r>
        <w:rPr>
          <w:rtl/>
        </w:rPr>
        <w:t xml:space="preserve">با این حال، اصل جست‌وجوی شواهد ناقض ایجاب می‌کند که موارد عدم انطباق نیز ثبت شود. تنش‌های دوره‌ای با جمهوری آذربایجان، مناقشه حقابه با افغانستان و محدودیت‌های ساختاری در ترانزیت </w:t>
      </w:r>
      <w:r>
        <w:rPr>
          <w:rtl/>
        </w:rPr>
        <w:lastRenderedPageBreak/>
        <w:t>و تسویه مالی ناشی از تحریم، نشان می‌دهند که ترجمه‌پذیری در این حوزه نیز کامل نبوده است. نکته تحلیلی مهم آن است که علت این نقصان‌ها بیرون از منطق گفتمانی قرار دارد: آن‌ها ناشی از تعارض میان معنا و کنش نیستند، بلکه ناشی از محدودیت ظرفیت اجرایی و اثر جانبی تحریم‌اند. این تمایز، برای گزاره پژوهش تعیین‌کننده است.</w:t>
      </w:r>
    </w:p>
    <w:p w14:paraId="06DEC3DC" w14:textId="77777777" w:rsidR="004270F1" w:rsidRDefault="00000000">
      <w:pPr>
        <w:pStyle w:val="Heading2"/>
        <w:bidi/>
        <w:spacing w:before="240" w:after="100"/>
      </w:pPr>
      <w:r>
        <w:rPr>
          <w:b/>
          <w:bCs/>
          <w:color w:val="000000"/>
          <w:sz w:val="23"/>
          <w:szCs w:val="23"/>
          <w:rtl/>
        </w:rPr>
        <w:t>۶-۵. پرونده هسته‌ای: زنجیره‌ای انباشته از شرط</w:t>
      </w:r>
    </w:p>
    <w:p w14:paraId="2B0C9103" w14:textId="77777777" w:rsidR="004270F1" w:rsidRDefault="00000000">
      <w:pPr>
        <w:bidi/>
        <w:spacing w:after="120"/>
        <w:ind w:firstLine="360"/>
        <w:jc w:val="both"/>
      </w:pPr>
      <w:r>
        <w:rPr>
          <w:rtl/>
        </w:rPr>
        <w:t>در حوزه هسته‌ای، تصویر به‌طور محسوسی متفاوت است. زنجیره معنایی این حوزه را می‌توان چنین بازسازی کرد:</w:t>
      </w:r>
    </w:p>
    <w:p w14:paraId="1C23DB83" w14:textId="77777777" w:rsidR="004270F1" w:rsidRDefault="00000000">
      <w:pPr>
        <w:bidi/>
        <w:spacing w:after="160"/>
        <w:jc w:val="center"/>
      </w:pPr>
      <w:r>
        <w:rPr>
          <w:b/>
          <w:bCs/>
          <w:sz w:val="21"/>
          <w:szCs w:val="21"/>
          <w:rtl/>
        </w:rPr>
        <w:t>حق ← مذاکره ← تعهد متقابل ← تضمین ← راستی‌آزمایی ← رفع مؤثر تحریم ← بهره‌مندی اقتصادی</w:t>
      </w:r>
    </w:p>
    <w:p w14:paraId="26A8E5A4" w14:textId="77777777" w:rsidR="004270F1" w:rsidRDefault="00000000">
      <w:pPr>
        <w:bidi/>
        <w:spacing w:after="120"/>
        <w:ind w:firstLine="360"/>
        <w:jc w:val="both"/>
      </w:pPr>
      <w:r>
        <w:rPr>
          <w:rtl/>
        </w:rPr>
        <w:t>تفاوت ساختاری این زنجیره با زنجیره همسایگی، در تعداد و نوع حلقه‌های میانی است. هر حلقه در این زنجیره، یک شرط است؛ یعنی گذار از هر حلقه به حلقه بعد، منوط به تحقق چیزی از سوی طرف مقابل است. در سند A/77/PV.6، متن به مسئله اعتماد، تضمین و سابقه خروج یک‌جانبه طرف آمریکایی از توافق ارجاع می‌دهد و همین سابقه را دلیل موجه بودن مطالبه تضمین معرفی می‌کند (A/77/PV.6).</w:t>
      </w:r>
    </w:p>
    <w:p w14:paraId="387E8F22" w14:textId="77777777" w:rsidR="004270F1" w:rsidRDefault="00000000">
      <w:pPr>
        <w:bidi/>
        <w:spacing w:after="120"/>
        <w:ind w:firstLine="360"/>
        <w:jc w:val="both"/>
      </w:pPr>
      <w:r>
        <w:rPr>
          <w:rtl/>
        </w:rPr>
        <w:t>از منظر تحلیل گفتمان، این انباشت شرط را نباید صرفاً به‌عنوان موضع‌گیری چانه‌زنانه تفسیر کرد. انباشت شرط، نشانه زبانی یک تعارض ساختاری است. گفتمانی که مرز خصمانه خود را با «سلطه» و مصداق متجسد آن ترسیم کرده، برای تحقق زنجیره هسته‌ای ناگزیر است با همان بازیگر به توافق برسد. توافق با دیگریِ سازنده، اگر بدون واسطه صورت گیرد، زنجیره هویتی را دچار بی‌قراری می‌کند. متن، برای مهار این تعارض، سه راهبرد زبانی به کار می‌گیرد.</w:t>
      </w:r>
    </w:p>
    <w:p w14:paraId="6A45DAEC" w14:textId="77777777" w:rsidR="004270F1" w:rsidRDefault="00000000">
      <w:pPr>
        <w:bidi/>
        <w:spacing w:after="120"/>
        <w:ind w:firstLine="360"/>
        <w:jc w:val="both"/>
      </w:pPr>
      <w:r>
        <w:rPr>
          <w:rtl/>
        </w:rPr>
        <w:t>راهبرد نخست، انتقال بار اثبات است. متن، بی‌اعتمادی را نه ویژگی موضع ایران بلکه نتیجه رفتار طرف مقابل معرفی می‌کند. بدین ترتیب، مطالبه تضمین به‌جای آنکه نشانه انعطاف‌ناپذیری باشد، به نشانه عقلانیت بدل می‌شود.</w:t>
      </w:r>
    </w:p>
    <w:p w14:paraId="14EC8C31" w14:textId="77777777" w:rsidR="004270F1" w:rsidRDefault="00000000">
      <w:pPr>
        <w:bidi/>
        <w:spacing w:after="120"/>
        <w:ind w:firstLine="360"/>
        <w:jc w:val="both"/>
      </w:pPr>
      <w:r>
        <w:rPr>
          <w:rtl/>
        </w:rPr>
        <w:t>راهبرد دوم، فعال‌سازی عملگر «تجربه» است که در بخش ۶-۱ شناسایی شد. ارجاع به تجربه خروج از توافق، به گفتمان امکان می‌دهد شرط‌گذاری را نه از موضع ایدئولوژیک بلکه از موضع تجربی توجیه کند و بدین ترتیب، انسجام زنجیره را حفظ نماید.</w:t>
      </w:r>
    </w:p>
    <w:p w14:paraId="51CB0253" w14:textId="77777777" w:rsidR="004270F1" w:rsidRDefault="00000000">
      <w:pPr>
        <w:bidi/>
        <w:spacing w:after="120"/>
        <w:ind w:firstLine="360"/>
        <w:jc w:val="both"/>
      </w:pPr>
      <w:r>
        <w:rPr>
          <w:rtl/>
        </w:rPr>
        <w:t>راهبرد سوم، بازتعریف مذاکره است. مذاکره در این گفتمان از مقوله «سازش» خارج و به مقوله «استیفای حق» منتقل می‌شود. با این جابه‌جایی، مذاکره دیگر در تقابل با مقاومت قرار نمی‌گیرد، بلکه به یکی از صورت‌های آن بدل می‌شود. این نکته نشان می‌دهد که دوگانه رایج «مقاومت در برابر مذاکره» برای توضیح این گفتمان نارساست.</w:t>
      </w:r>
    </w:p>
    <w:p w14:paraId="742511C6" w14:textId="77777777" w:rsidR="004270F1" w:rsidRDefault="00000000">
      <w:pPr>
        <w:bidi/>
        <w:spacing w:after="120"/>
        <w:ind w:firstLine="360"/>
        <w:jc w:val="both"/>
      </w:pPr>
      <w:r>
        <w:rPr>
          <w:rtl/>
        </w:rPr>
        <w:t>با این حال، هر سه راهبرد، تعارض را مدیریت می‌کنند نه حل. مقابله با پیکره مکمل این را تأیید می‌کند: توقف عملی دورهای مذاکرات از اواخر ۲۰۲۲، عدم حصول توافق، و مسائل حل‌نشده در حوزه پادمان‌ها نشان می‌دهد که زنجیره معنایی این حوزه، برخلاف حوزه همسایگی، در لایه سوم به نتیجه نرسیده است. به بیان مدل تحلیلی، در این حوزه لایه دوم و سوم از یکدیگر فاصله گرفته‌اند.</w:t>
      </w:r>
    </w:p>
    <w:p w14:paraId="4D27E126" w14:textId="77777777" w:rsidR="004270F1" w:rsidRDefault="00000000">
      <w:pPr>
        <w:pStyle w:val="Heading2"/>
        <w:bidi/>
        <w:spacing w:before="240" w:after="100"/>
      </w:pPr>
      <w:r>
        <w:rPr>
          <w:b/>
          <w:bCs/>
          <w:color w:val="000000"/>
          <w:sz w:val="23"/>
          <w:szCs w:val="23"/>
          <w:rtl/>
        </w:rPr>
        <w:t>۶-۶. مقایسه درزمانی: جابه‌جایی‌های ۲۰۲۱ به ۲۰۲۲</w:t>
      </w:r>
    </w:p>
    <w:p w14:paraId="0DF55157" w14:textId="77777777" w:rsidR="004270F1" w:rsidRDefault="00000000">
      <w:pPr>
        <w:bidi/>
        <w:spacing w:after="120"/>
        <w:ind w:firstLine="360"/>
        <w:jc w:val="both"/>
      </w:pPr>
      <w:r>
        <w:rPr>
          <w:rtl/>
        </w:rPr>
        <w:t>مقایسه دو سند، سه جابه‌جایی معنادار را آشکار می‌کند.</w:t>
      </w:r>
    </w:p>
    <w:p w14:paraId="173E249D" w14:textId="77777777" w:rsidR="004270F1" w:rsidRDefault="00000000">
      <w:pPr>
        <w:bidi/>
        <w:spacing w:after="120"/>
        <w:ind w:firstLine="360"/>
        <w:jc w:val="both"/>
      </w:pPr>
      <w:r>
        <w:rPr>
          <w:rtl/>
        </w:rPr>
        <w:t>نخست، ارتقای موقعیت «عدالت» از یک دال در زنجیره به دال بازنمایی‌کننده کلیت زنجیره. این جابه‌جایی، ظرفیت هژمونیک گفتمان را افزایش می‌دهد، زیرا امکان جذب مطالبات بیرونی را فراهم می‌سازد.</w:t>
      </w:r>
    </w:p>
    <w:p w14:paraId="460F62BE" w14:textId="77777777" w:rsidR="004270F1" w:rsidRDefault="00000000">
      <w:pPr>
        <w:bidi/>
        <w:spacing w:after="120"/>
        <w:ind w:firstLine="360"/>
        <w:jc w:val="both"/>
      </w:pPr>
      <w:r>
        <w:rPr>
          <w:rtl/>
        </w:rPr>
        <w:lastRenderedPageBreak/>
        <w:t>دوم، افزایش بسامد و برجستگی دال‌های «تضمین» و «اعتماد» در حوزه هسته‌ای. این تغییر با گزاره پژوهش سازگار است: با گذشت زمان و ناکامی مذاکرات، شرط‌های میانی زنجیره افزایش یافته‌اند، که نشانه تشدید بی‌قراری درون‌زا است.</w:t>
      </w:r>
    </w:p>
    <w:p w14:paraId="574BE658" w14:textId="77777777" w:rsidR="004270F1" w:rsidRDefault="00000000">
      <w:pPr>
        <w:bidi/>
        <w:spacing w:after="120"/>
        <w:ind w:firstLine="360"/>
        <w:jc w:val="both"/>
      </w:pPr>
      <w:r>
        <w:rPr>
          <w:rtl/>
        </w:rPr>
        <w:t>سوم، تثبیت نسبی زبان حوزه همسایگی. برخلاف حوزه هسته‌ای، صورت‌بندی این حوزه میان دو سند تغییر ساختاری محسوسی نکرده است. پایداری یک زنجیره در برابر تغییر شرایط، خود شاخصی از تثبیت موفق آن است.</w:t>
      </w:r>
    </w:p>
    <w:p w14:paraId="15D09736" w14:textId="77777777" w:rsidR="004270F1" w:rsidRDefault="00000000">
      <w:pPr>
        <w:bidi/>
        <w:spacing w:after="120"/>
        <w:ind w:firstLine="360"/>
        <w:jc w:val="both"/>
      </w:pPr>
      <w:r>
        <w:rPr>
          <w:rtl/>
        </w:rPr>
        <w:t>جمع‌بندی این مقایسه آن است که در فاصله یک سال، شکاف میان دو حوزه نه‌تنها کاهش نیافته بلکه افزایش یافته است؛ و این افزایش، هم‌زمان با تقویت انسجام کلی زنجیره هم‌ارزی رخ داده است. این هم‌زمانی، نکته‌ای است که تبیین‌های مبتنی بر «ضعف گفتمان» نمی‌توانند توضیح دهند.</w:t>
      </w:r>
    </w:p>
    <w:p w14:paraId="7E45B2E7" w14:textId="77777777" w:rsidR="004270F1" w:rsidRDefault="00000000">
      <w:pPr>
        <w:pStyle w:val="Heading2"/>
        <w:bidi/>
        <w:spacing w:before="240" w:after="100"/>
      </w:pPr>
      <w:r>
        <w:rPr>
          <w:b/>
          <w:bCs/>
          <w:color w:val="000000"/>
          <w:sz w:val="23"/>
          <w:szCs w:val="23"/>
          <w:rtl/>
        </w:rPr>
        <w:t>۶-۷. غیاب‌ها: آنچه گفته نمی‌شود</w:t>
      </w:r>
    </w:p>
    <w:p w14:paraId="52ED4246" w14:textId="77777777" w:rsidR="004270F1" w:rsidRDefault="00000000">
      <w:pPr>
        <w:bidi/>
        <w:spacing w:after="120"/>
        <w:ind w:firstLine="360"/>
        <w:jc w:val="both"/>
      </w:pPr>
      <w:r>
        <w:rPr>
          <w:rtl/>
        </w:rPr>
        <w:t>تحلیل گفتمان به همان اندازه که به گفته‌ها می‌پردازد، به غیاب‌ها توجه دارد؛ زیرا مرزهای یک گفتمان را می‌توان از آنچه در آن نمی‌گنجد بازشناخت. سه غیاب معنادار در پیکره داده قابل شناسایی است.</w:t>
      </w:r>
    </w:p>
    <w:p w14:paraId="73146918" w14:textId="77777777" w:rsidR="004270F1" w:rsidRDefault="00000000">
      <w:pPr>
        <w:bidi/>
        <w:spacing w:after="120"/>
        <w:ind w:firstLine="360"/>
        <w:jc w:val="both"/>
      </w:pPr>
      <w:r>
        <w:rPr>
          <w:rtl/>
        </w:rPr>
        <w:t>غیاب نخست، فقدان محتوای نهادی مشخص برای «نظم مطلوب» است. هر دو سند، نظم موجود را با دقت نقد می‌کنند، اما تصویری از سازوکارهای نهادی نظم جایگزین، از جمله پیشنهاد مشخص برای اصلاح ساختار تصمیم‌گیری بین‌المللی، ارائه نمی‌دهند. از منظر نظریه هژمونی، این غیاب تعیین‌کننده است: یک گفتمان تا زمانی که صرفاً بر منطق هم‌ارزی سلبی استوار باشد و نتواند محتوای ایجابی سازمان‌دهنده عرضه کند، در موقعیت اعتراضی باقی می‌ماند و به موقعیت هژمونیک نمی‌رسد (Laclau, 2005: 129-132).</w:t>
      </w:r>
    </w:p>
    <w:p w14:paraId="7110AC9C" w14:textId="77777777" w:rsidR="004270F1" w:rsidRDefault="00000000">
      <w:pPr>
        <w:bidi/>
        <w:spacing w:after="120"/>
        <w:ind w:firstLine="360"/>
        <w:jc w:val="both"/>
      </w:pPr>
      <w:r>
        <w:rPr>
          <w:rtl/>
        </w:rPr>
        <w:t>غیاب دوم، عدم صورت‌بندی صریح جهت‌گیری شرقی به‌عنوان یک بدیل نظم‌ساز در این دو متن است. در حالی که این جهت‌گیری در سطح عمل سیاست خارجی این دوره برجسته بود، در متن سخنرانی‌های مجمع عمومی به‌مثابه یک مفصل‌بندی معنایی مستقل ظاهر نمی‌شود. این غیاب را می‌توان تا حدی به اقتضائات ژانر نسبت داد، اما هم‌زمان نشان می‌دهد که این جهت‌گیری هنوز به سطح یک زنجیره معنایی تثبیت‌شده ارتقا نیافته بود.</w:t>
      </w:r>
    </w:p>
    <w:p w14:paraId="27BAD648" w14:textId="77777777" w:rsidR="004270F1" w:rsidRDefault="00000000">
      <w:pPr>
        <w:bidi/>
        <w:spacing w:after="120"/>
        <w:ind w:firstLine="360"/>
        <w:jc w:val="both"/>
      </w:pPr>
      <w:r>
        <w:rPr>
          <w:rtl/>
        </w:rPr>
        <w:t>غیاب سوم، نبود سازوکار تعریف‌شده برای ترجمه «عدالت» به سیاست است. عدالت در متن، دالی است که مطالبات را گرد می‌آورد، اما هیچ گزاره‌ای مشخص نمی‌کند که این دال از طریق چه ابزاری، در چه سطحی و با چه ائتلافی قرار است محقق شود. این غیاب، دقیقاً همان نقطه‌ای است که مفهوم وضعیت بیناگفتمانی بر آن انگشت می‌گذارد.</w:t>
      </w:r>
    </w:p>
    <w:p w14:paraId="45BB5A81" w14:textId="77777777" w:rsidR="004270F1" w:rsidRDefault="00000000">
      <w:pPr>
        <w:pStyle w:val="Heading1"/>
        <w:bidi/>
        <w:spacing w:before="320" w:after="140"/>
      </w:pPr>
      <w:r>
        <w:rPr>
          <w:b/>
          <w:bCs/>
          <w:color w:val="000000"/>
          <w:sz w:val="26"/>
          <w:szCs w:val="26"/>
          <w:rtl/>
        </w:rPr>
        <w:t>۷. بحث: سازوکار پیشنهادی در برابر تبیین‌های رقیب</w:t>
      </w:r>
    </w:p>
    <w:p w14:paraId="3F8BD23E" w14:textId="77777777" w:rsidR="004270F1" w:rsidRDefault="00000000">
      <w:pPr>
        <w:pStyle w:val="Heading2"/>
        <w:bidi/>
        <w:spacing w:before="240" w:after="100"/>
      </w:pPr>
      <w:r>
        <w:rPr>
          <w:b/>
          <w:bCs/>
          <w:color w:val="000000"/>
          <w:sz w:val="23"/>
          <w:szCs w:val="23"/>
          <w:rtl/>
        </w:rPr>
        <w:t>۷-۱. صورت‌بندی سازوکار</w:t>
      </w:r>
    </w:p>
    <w:p w14:paraId="720D6405" w14:textId="77777777" w:rsidR="004270F1" w:rsidRDefault="00000000">
      <w:pPr>
        <w:bidi/>
        <w:spacing w:after="120"/>
        <w:ind w:firstLine="360"/>
        <w:jc w:val="both"/>
      </w:pPr>
      <w:r>
        <w:rPr>
          <w:rtl/>
        </w:rPr>
        <w:t>جمع‌بندی یافته‌ها، گزاره پژوهش را پشتیبانی می‌کند. تفاوت میان دو حوزه را نمی‌توان به تفاوت در انسجام هویتی نسبت داد، زیرا هر دو حوزه از یک زنجیره هویتی واحد و از یک نقطه گره‌ای مشترک تغذیه می‌شوند. تفاوت را همچنین نمی‌توان به تفاوت در اهمیت نسبت داد، زیرا هر دو حوزه در اولویت اعلامی دولت قرار داشتند. متغیری که این دو حوزه را از یکدیگر متمایز می‌کند، ساختار وابستگی تحقق است.</w:t>
      </w:r>
    </w:p>
    <w:p w14:paraId="06C3094F" w14:textId="77777777" w:rsidR="004270F1" w:rsidRDefault="00000000">
      <w:pPr>
        <w:bidi/>
        <w:spacing w:after="120"/>
        <w:ind w:firstLine="360"/>
        <w:jc w:val="both"/>
      </w:pPr>
      <w:r>
        <w:rPr>
          <w:rtl/>
        </w:rPr>
        <w:t xml:space="preserve">در حوزه همسایگی، طرف مقابلِ لازم برای تحقق زنجیره، بازیگری است که خود می‌تواند در زنجیره هم‌ارزی جای گیرد. بنابراین کنش و معنا هم‌جهت‌اند و ترجمه‌پذیری بالا است. در حوزه هسته‌ای، طرف مقابلِ لازم برای تحقق زنجیره، همان بازیگری است که مرز خصمانه گفتمان را می‌سازد. در نتیجه، کنشِ لازم برای تحقق، در تعارض با شرط انسجام معنایی قرار می‌گیرد و گفتمان ناگزیر به انباشت شرط، تضمین‌خواهی و بازتعریف مذاکره روی می‌آورد. این سازوکار را می‌توان چنین خلاصه کرد: وضعیت </w:t>
      </w:r>
      <w:r>
        <w:rPr>
          <w:rtl/>
        </w:rPr>
        <w:lastRenderedPageBreak/>
        <w:t>بیناگفتمانی نه پیامد ضعف گفتمان، بلکه پیامد موفقیت نسبی آن در ترسیم یک مرز خصمانه روشن است. هرچه مرز خصمانه شفاف‌تر باشد، انسجام هویتی بیشتر و انعطاف کنشی در حوزه‌های متقاطع با آن مرز کمتر می‌شود.</w:t>
      </w:r>
    </w:p>
    <w:p w14:paraId="0348C7FC" w14:textId="77777777" w:rsidR="004270F1" w:rsidRDefault="00000000">
      <w:pPr>
        <w:bidi/>
        <w:spacing w:after="120"/>
        <w:ind w:firstLine="360"/>
        <w:jc w:val="both"/>
      </w:pPr>
      <w:r>
        <w:rPr>
          <w:rtl/>
        </w:rPr>
        <w:t>این نتیجه، دلالت نظری قابل توجهی دارد: انسجام گفتمانی و ترجمه‌پذیری راهبردی، لزوماً هم‌بسته مثبت نیستند و در شرایط معینی رابطه معکوس پیدا می‌کنند.</w:t>
      </w:r>
    </w:p>
    <w:p w14:paraId="1A2CCF70" w14:textId="77777777" w:rsidR="004270F1" w:rsidRDefault="00000000">
      <w:pPr>
        <w:pStyle w:val="Heading2"/>
        <w:bidi/>
        <w:spacing w:before="240" w:after="100"/>
      </w:pPr>
      <w:r>
        <w:rPr>
          <w:b/>
          <w:bCs/>
          <w:color w:val="000000"/>
          <w:sz w:val="23"/>
          <w:szCs w:val="23"/>
          <w:rtl/>
        </w:rPr>
        <w:t>۷-۲. تبیین‌های رقیب</w:t>
      </w:r>
    </w:p>
    <w:p w14:paraId="441EBAB4" w14:textId="77777777" w:rsidR="004270F1" w:rsidRDefault="00000000">
      <w:pPr>
        <w:bidi/>
        <w:spacing w:after="120"/>
        <w:ind w:firstLine="360"/>
        <w:jc w:val="both"/>
      </w:pPr>
      <w:r>
        <w:rPr>
          <w:rtl/>
        </w:rPr>
        <w:t>سه تبیین بدیل می‌توانند همین الگو را توضیح دهند و ارزیابی آن‌ها برای اعتبار استدلال ضروری است.</w:t>
      </w:r>
    </w:p>
    <w:p w14:paraId="69ED7304" w14:textId="77777777" w:rsidR="004270F1" w:rsidRDefault="00000000">
      <w:pPr>
        <w:bidi/>
        <w:spacing w:after="120"/>
        <w:ind w:firstLine="360"/>
        <w:jc w:val="both"/>
      </w:pPr>
      <w:r>
        <w:rPr>
          <w:rtl/>
        </w:rPr>
        <w:t>تبیین نخست، تبیین ساختاری است: ممکن است گفته شود تفاوت میان دو حوزه صرفاً ناشی از توزیع قدرت است؛ ایران در محیط منطقه‌ای ظرفیت چانه‌زنی بیشتری دارد و در برابر ایالات متحده کمتر. این تبیین بخشی از واقعیت را توضیح می‌دهد و پژوهش حاضر آن را رد نمی‌کند. با این حال، تبیین ساختاری نمی‌تواند توضیح دهد که چرا زبان متن در حوزه هسته‌ای دقیقاً از الگوی انباشت شرط پیروی می‌کند، و چرا این الگو با گذشت زمان تشدید می‌شود، در حالی که توزیع قدرت در فاصله یک سال تغییر معناداری نکرده است. تبیین ساختاری، توزیع فرصت را توضیح می‌دهد؛ تبیین گفتمانی، شکل صورت‌بندی پاسخ به آن فرصت را.</w:t>
      </w:r>
    </w:p>
    <w:p w14:paraId="5562424F" w14:textId="77777777" w:rsidR="004270F1" w:rsidRDefault="00000000">
      <w:pPr>
        <w:bidi/>
        <w:spacing w:after="120"/>
        <w:ind w:firstLine="360"/>
        <w:jc w:val="both"/>
      </w:pPr>
      <w:r>
        <w:rPr>
          <w:rtl/>
        </w:rPr>
        <w:t>تبیین دوم، تبیین نهادی است: بر پایه ادبیاتی که ساختار تصمیم‌گیری در ایران را چندلایه و دارای مراکز موازی می‌داند (Tabatabai, 2020؛ Juneau, 2015)، می‌توان گفت شکاف میان گفتار و عمل ناشی از پراکندگی اقتدار است. این تبیین نیز معتبر است و پژوهش حاضر با آن تعارضی ندارد؛ اما دو محدودیت دارد. نخست، اگر پراکندگی نهادی متغیر توضیح‌دهنده باشد، باید در هر دو حوزه اثر مشابهی داشته باشد، در حالی که تفاوت مشاهده‌شده میان دو حوزه معنادار است. دوم، تبیین نهادی توضیح نمی‌دهد که چرا برخی گزینه‌ها اساساً وارد دستور کار نهادی نمی‌شوند. تبیین گفتمانی دقیقاً به همین مرحله پیشانهادی می‌پردازد: به تعیین اینکه چه چیزی اصولاً قابل طرح است.</w:t>
      </w:r>
    </w:p>
    <w:p w14:paraId="3596B315" w14:textId="77777777" w:rsidR="004270F1" w:rsidRDefault="00000000">
      <w:pPr>
        <w:bidi/>
        <w:spacing w:after="120"/>
        <w:ind w:firstLine="360"/>
        <w:jc w:val="both"/>
      </w:pPr>
      <w:r>
        <w:rPr>
          <w:rtl/>
        </w:rPr>
        <w:t>تبیین سوم، تبیین ژانری است: ممکن است گفته شود تفاوت مشاهده‌شده صرفاً ویژگی سخنرانی مجمع عمومی است، نه گفتمان سیاست خارجی. این نقد جدی است و پژوهش حاضر برای پاسخ به آن، تحلیل لایه سوم را بر اسناد مکمل استوار کرده است. انطباق الگوی زبانی با نتایج عملی در هر دو حوزه، نشان می‌دهد که یافته صرفاً اثر ژانر نیست.</w:t>
      </w:r>
    </w:p>
    <w:p w14:paraId="7160F30F" w14:textId="77777777" w:rsidR="004270F1" w:rsidRDefault="00000000">
      <w:pPr>
        <w:bidi/>
        <w:spacing w:after="120"/>
        <w:ind w:firstLine="360"/>
        <w:jc w:val="both"/>
      </w:pPr>
      <w:r>
        <w:rPr>
          <w:rtl/>
        </w:rPr>
        <w:t>بنابراین، ادعای این مقاله نه جایگزینی تبیین‌های ساختاری و نهادی، بلکه افزودن یک لایه توضیحی است که آن دو نمی‌توانند پوشش دهند: لایه شرایط امکان معنایی کنش.</w:t>
      </w:r>
    </w:p>
    <w:p w14:paraId="2F597CC3" w14:textId="77777777" w:rsidR="004270F1" w:rsidRDefault="00000000">
      <w:pPr>
        <w:pStyle w:val="Heading2"/>
        <w:bidi/>
        <w:spacing w:before="240" w:after="100"/>
      </w:pPr>
      <w:r>
        <w:rPr>
          <w:b/>
          <w:bCs/>
          <w:color w:val="000000"/>
          <w:sz w:val="23"/>
          <w:szCs w:val="23"/>
          <w:rtl/>
        </w:rPr>
        <w:t>۷-۳. دامنه اعتبار و قابلیت تعمیم</w:t>
      </w:r>
    </w:p>
    <w:p w14:paraId="1714177D" w14:textId="77777777" w:rsidR="004270F1" w:rsidRDefault="00000000">
      <w:pPr>
        <w:bidi/>
        <w:spacing w:after="120"/>
        <w:ind w:firstLine="360"/>
        <w:jc w:val="both"/>
      </w:pPr>
      <w:r>
        <w:rPr>
          <w:rtl/>
        </w:rPr>
        <w:t>سازوکار پیشنهادی، مدعی اعتبار جهان‌شمول نیست، اما دامنه آن به مورد ایران محدود نیست. انتظار می‌رود این سازوکار در مورد دولت‌هایی برقرار باشد که سه شرط را هم‌زمان دارا باشند: هویت سیاسی آن‌ها بر پایه تقابل با یک قدرت مشخص ساخته شده باشد؛ بخشی از منافع حیاتی آن‌ها مستلزم توافق با همان قدرت باشد؛ و گفتمان رسمی آن‌ها دارای درجه بالایی از انسجام باشد. آزمودن این سازوکار در موارد دیگر، مسیر پژوهشی روشنی برای مطالعات آینده پیشنهاد می‌کند.</w:t>
      </w:r>
    </w:p>
    <w:p w14:paraId="78D5D74B" w14:textId="77777777" w:rsidR="004270F1" w:rsidRDefault="00000000">
      <w:pPr>
        <w:pStyle w:val="Heading1"/>
        <w:bidi/>
        <w:spacing w:before="320" w:after="140"/>
      </w:pPr>
      <w:r>
        <w:rPr>
          <w:b/>
          <w:bCs/>
          <w:color w:val="000000"/>
          <w:sz w:val="26"/>
          <w:szCs w:val="26"/>
          <w:rtl/>
        </w:rPr>
        <w:t>۸. دلالت‌ها و الزامات صورت‌بندی مفصل‌بندی فراگیرتر</w:t>
      </w:r>
    </w:p>
    <w:p w14:paraId="3EB163FD" w14:textId="77777777" w:rsidR="004270F1" w:rsidRDefault="00000000">
      <w:pPr>
        <w:bidi/>
        <w:spacing w:after="120"/>
        <w:ind w:firstLine="360"/>
        <w:jc w:val="both"/>
      </w:pPr>
      <w:r>
        <w:rPr>
          <w:rtl/>
        </w:rPr>
        <w:t>یافته‌های پژوهش، مجموعه‌ای از دلالت‌های تحلیلی دارد. تأکید می‌شود که این دلالت‌ها، استنتاج از یافته‌ها هستند و نه توصیه هنجاری؛ ارزیابی مطلوبیت آن‌ها خارج از حدود این پژوهش است.</w:t>
      </w:r>
    </w:p>
    <w:p w14:paraId="3655B19C" w14:textId="77777777" w:rsidR="004270F1" w:rsidRDefault="00000000">
      <w:pPr>
        <w:bidi/>
        <w:spacing w:after="120"/>
        <w:ind w:firstLine="360"/>
        <w:jc w:val="both"/>
      </w:pPr>
      <w:r>
        <w:rPr>
          <w:rtl/>
        </w:rPr>
        <w:lastRenderedPageBreak/>
        <w:t>نخست، مسئله سیاست خارجی مورد بررسی در سطح فقدان هویت قرار ندارد. یافته‌ها نشان می‌دهند زنجیره هویتی این گفتمان منسجم، تکرارشونده و پایدار است. بنابراین راه‌حل‌هایی که بر «تعدیل عناصر هویتی» تمرکز می‌کنند، مسئله را در سطح نادرستی صورت‌بندی کرده‌اند.</w:t>
      </w:r>
    </w:p>
    <w:p w14:paraId="108B7934" w14:textId="77777777" w:rsidR="004270F1" w:rsidRDefault="00000000">
      <w:pPr>
        <w:bidi/>
        <w:spacing w:after="120"/>
        <w:ind w:firstLine="360"/>
        <w:jc w:val="both"/>
      </w:pPr>
      <w:r>
        <w:rPr>
          <w:rtl/>
        </w:rPr>
        <w:t>دوم، تنگنای شناسایی‌شده در سطح ساختار مرز خصمانه قرار دارد. تا زمانی که مرز خصمانه در یک بازیگر مشخص متجسد باشد، هر حوزه‌ای که تحقق آن به کنش همان بازیگر وابسته است، دچار بی‌قراری خواهد شد. از منظر نظری، دو مسیر برای مدیریت این تنگنا قابل تصور است: تفکیک تحلیلی پایدار میان «منطق سلطه» و «بازیگر مشخص»، یا وساطت نهادی و چندجانبه که مذاکره مستقیم با دیگریِ سازنده را به مذاکره با یک ساختار جمعی تبدیل کند.</w:t>
      </w:r>
    </w:p>
    <w:p w14:paraId="51B576F6" w14:textId="77777777" w:rsidR="004270F1" w:rsidRDefault="00000000">
      <w:pPr>
        <w:bidi/>
        <w:spacing w:after="120"/>
        <w:ind w:firstLine="360"/>
        <w:jc w:val="both"/>
      </w:pPr>
      <w:r>
        <w:rPr>
          <w:rtl/>
        </w:rPr>
        <w:t>سوم، ارتقای گفتمان از موقعیت اعتراضی به موقعیت هژمونیک، مستلزم پر کردن دال تهی با محتوای نهادی مشخص است. زنجیره‌ای که صرفاً بر نفی استوار باشد، می‌تواند بسیج‌کننده باشد اما سازنده نظم نیست. بر پایه یافته بخش ۶-۷، این دقیقاً نقطه‌ای است که گفتمان مورد بررسی در آن ناتمام مانده است.</w:t>
      </w:r>
    </w:p>
    <w:p w14:paraId="39A1A89D" w14:textId="77777777" w:rsidR="004270F1" w:rsidRDefault="00000000">
      <w:pPr>
        <w:bidi/>
        <w:spacing w:after="120"/>
        <w:ind w:firstLine="360"/>
        <w:jc w:val="both"/>
      </w:pPr>
      <w:r>
        <w:rPr>
          <w:rtl/>
        </w:rPr>
        <w:t>چهارم، حوزه همسایگی به‌عنوان تنها حوزه‌ای که در آن معنا و کنش هم‌جهت بوده‌اند، از منظر نظری الگویی برای گسترش زنجیره هم‌ارزی فراهم می‌کند؛ به‌شرط آنکه از سطح روابط دوجانبه به سطح ترتیبات نهادی منطقه‌ای ارتقا یابد.</w:t>
      </w:r>
    </w:p>
    <w:p w14:paraId="09CE626F" w14:textId="77777777" w:rsidR="004270F1" w:rsidRDefault="00000000">
      <w:pPr>
        <w:bidi/>
        <w:spacing w:after="120"/>
        <w:ind w:firstLine="360"/>
        <w:jc w:val="both"/>
      </w:pPr>
      <w:r>
        <w:rPr>
          <w:rtl/>
        </w:rPr>
        <w:t>پنجم، «گفتمان فراگیر» در این پژوهش به معنای گفتمانی تازه نیست. بر پایه منطق نظریه هژمونی، فراگیری حاصل بازآرایی عناصر موجود به‌گونه‌ای است که ظرفیت جذب مطالبات بیشتری بیابند، نه حاصل جایگزینی آن‌ها.</w:t>
      </w:r>
    </w:p>
    <w:p w14:paraId="4DA2F62B" w14:textId="77777777" w:rsidR="004270F1" w:rsidRDefault="00000000">
      <w:pPr>
        <w:pStyle w:val="Heading1"/>
        <w:bidi/>
        <w:spacing w:before="320" w:after="140"/>
      </w:pPr>
      <w:r>
        <w:rPr>
          <w:b/>
          <w:bCs/>
          <w:color w:val="000000"/>
          <w:sz w:val="26"/>
          <w:szCs w:val="26"/>
          <w:rtl/>
        </w:rPr>
        <w:t>۹. نتیجه‌گیری</w:t>
      </w:r>
    </w:p>
    <w:p w14:paraId="7FCAB226" w14:textId="77777777" w:rsidR="004270F1" w:rsidRDefault="00000000">
      <w:pPr>
        <w:bidi/>
        <w:spacing w:after="120"/>
        <w:ind w:firstLine="360"/>
        <w:jc w:val="both"/>
      </w:pPr>
      <w:r>
        <w:rPr>
          <w:rtl/>
        </w:rPr>
        <w:t>این پژوهش با این پرسش آغاز شد که چه سازوکاری تعیین می‌کند یک نظام معنایی واحد در حوزه‌های مختلف سیاست خارجی به درجات متفاوتی از انسجام راهبردی بینجامد. برای پاسخ، گفتمان رسمی سیاست خارجی دولت سیزدهم جمهوری اسلامی ایران بر پایه دو سند رسمی سازمان ملل متحد و با روش تحلیل گفتمان لاکلائو و موفه بررسی، و دو حوزه همسایگی و پرونده هسته‌ای با یکدیگر مقایسه شد.</w:t>
      </w:r>
    </w:p>
    <w:p w14:paraId="1E21568A" w14:textId="77777777" w:rsidR="004270F1" w:rsidRDefault="00000000">
      <w:pPr>
        <w:bidi/>
        <w:spacing w:after="120"/>
        <w:ind w:firstLine="360"/>
        <w:jc w:val="both"/>
      </w:pPr>
      <w:r>
        <w:rPr>
          <w:rtl/>
        </w:rPr>
        <w:t>یافته‌ها نشان داد که گفتمان مورد بررسی بر یک زنجیره هم‌ارزی منسجم استوار است که «استقلال» نقطه گره‌ای آن و «سلطه» بیرون سازنده آن است، و در سند سال ۲۰۲۲، «عدالت» کارکرد دال تهیِ بازنمایی‌کننده کلیت زنجیره را بر عهده می‌گیرد. با وجود این انسجام، ظرفیت ترجمه زنجیره به راهبرد در دو حوزه یکسان نیست: در حوزه همسایگی، معنا و کنش هم‌جهت‌اند و انطباق نسبی میان مفصل‌بندی و نتایج قابل مشاهده وجود دارد؛ در حوزه هسته‌ای، زنجیره از شروط میانی انباشته می‌شود و در سطح نتیجه به تثبیت نمی‌رسد.</w:t>
      </w:r>
    </w:p>
    <w:p w14:paraId="0001B3FE" w14:textId="77777777" w:rsidR="004270F1" w:rsidRDefault="00000000">
      <w:pPr>
        <w:bidi/>
        <w:spacing w:after="120"/>
        <w:ind w:firstLine="360"/>
        <w:jc w:val="both"/>
      </w:pPr>
      <w:r>
        <w:rPr>
          <w:rtl/>
        </w:rPr>
        <w:t>مقاله استدلال کرد که این تفاوت تابع یک متغیر مشخص است: میزان وابستگی تحقق هر حوزه به کنش متقابل بازیگری که مرز خصمانه گفتمان را می‌سازد. بر این اساس، وضعیت بیناگفتمانی به‌عنوان حالتی از تثبیت ناقص هژمونیک بازتعریف شد؛ حالتی که نه از فقدان هویت، بلکه از تعارض میان الزام انسجام معنایی و الزام کنش برمی‌خیزد.</w:t>
      </w:r>
    </w:p>
    <w:p w14:paraId="5C62D22A" w14:textId="77777777" w:rsidR="004270F1" w:rsidRDefault="00000000">
      <w:pPr>
        <w:bidi/>
        <w:spacing w:after="120"/>
        <w:ind w:firstLine="360"/>
        <w:jc w:val="both"/>
      </w:pPr>
      <w:r>
        <w:rPr>
          <w:rtl/>
        </w:rPr>
        <w:t>سهم نظری این پژوهش در سه نکته خلاصه می‌شود. نخست، نشان دادن اینکه انسجام گفتمانی و ترجمه‌پذیری راهبردی می‌توانند رابطه معکوس داشته باشند؛ نتیجه‌ای که با فرض رایج در ادبیات سیاست خارجی مبنی بر مطلوب بودن حداکثری انسجام گفتمانی، در تنش است. دوم، عملیاتی کردن مفهوم بی‌قراری لاکلائو در قلمرو مطالعات سیاست خارجی از طریق تفکیک میان بی‌قراری برون‌زا و درون‌زا. سوم، ارائه یک طراحی مقایسه‌ای درون‌موردی که متغیرهای مزاحم را کنترل می‌کند و می‌تواند در مطالعات آینده به کار رود.</w:t>
      </w:r>
    </w:p>
    <w:p w14:paraId="56258C9E" w14:textId="77777777" w:rsidR="004270F1" w:rsidRDefault="00000000">
      <w:pPr>
        <w:bidi/>
        <w:spacing w:after="120"/>
        <w:ind w:firstLine="360"/>
        <w:jc w:val="both"/>
      </w:pPr>
      <w:r>
        <w:rPr>
          <w:rtl/>
        </w:rPr>
        <w:lastRenderedPageBreak/>
        <w:t>محدودیت‌های پژوهش، به‌ویژه محدود بودن پیکره گفتمانی به دو متن و اقتضائات ژانر سخنرانی مجمع عمومی، ایجاب می‌کند که یافته‌ها با احتیاط تعمیم داده شوند. پژوهش‌های آینده می‌توانند سازوکار پیشنهادی را با پیکره گسترده‌تری از اسناد داخلی، در دوره‌های مختلف، و در موارد مقایسه‌ای بیرون از ایران بیازمایند.</w:t>
      </w:r>
    </w:p>
    <w:p w14:paraId="79907EA8" w14:textId="77777777" w:rsidR="004270F1" w:rsidRDefault="00000000">
      <w:pPr>
        <w:bidi/>
        <w:spacing w:after="100"/>
      </w:pPr>
      <w:r>
        <w:rPr>
          <w:b/>
          <w:bCs/>
          <w:sz w:val="24"/>
          <w:szCs w:val="24"/>
          <w:rtl/>
        </w:rPr>
        <w:t>تعارض منافع</w:t>
      </w:r>
    </w:p>
    <w:p w14:paraId="3757FD80" w14:textId="77777777" w:rsidR="004270F1" w:rsidRDefault="00000000">
      <w:pPr>
        <w:bidi/>
        <w:spacing w:after="120"/>
        <w:ind w:firstLine="360"/>
        <w:jc w:val="both"/>
      </w:pPr>
      <w:r>
        <w:rPr>
          <w:rtl/>
        </w:rPr>
        <w:t>نویسندگان اعلام می‌دارند که هیچ‌گونه تعارض منافعی در ارتباط با این پژوهش وجود ندارد.</w:t>
      </w:r>
    </w:p>
    <w:p w14:paraId="45A4E4C0" w14:textId="77777777" w:rsidR="004270F1" w:rsidRDefault="00000000">
      <w:pPr>
        <w:bidi/>
        <w:spacing w:after="100"/>
      </w:pPr>
      <w:r>
        <w:rPr>
          <w:b/>
          <w:bCs/>
          <w:sz w:val="24"/>
          <w:szCs w:val="24"/>
          <w:rtl/>
        </w:rPr>
        <w:t>حامی مالی</w:t>
      </w:r>
    </w:p>
    <w:p w14:paraId="61E87E01" w14:textId="77777777" w:rsidR="004270F1" w:rsidRDefault="00000000">
      <w:pPr>
        <w:bidi/>
        <w:spacing w:after="120"/>
        <w:ind w:firstLine="360"/>
        <w:jc w:val="both"/>
      </w:pPr>
      <w:r>
        <w:rPr>
          <w:rtl/>
        </w:rPr>
        <w:t>این پژوهش هیچ کمک مالی مشخصی از نهادهای تأمین مالی در بخش‌های عمومی، تجاری یا غیرانتفاعی دریافت نکرده است.</w:t>
      </w:r>
    </w:p>
    <w:p w14:paraId="2F36C78D" w14:textId="77777777" w:rsidR="004270F1" w:rsidRDefault="00000000">
      <w:pPr>
        <w:pStyle w:val="Heading1"/>
        <w:bidi/>
        <w:spacing w:before="320" w:after="140"/>
      </w:pPr>
      <w:r>
        <w:rPr>
          <w:b/>
          <w:bCs/>
          <w:color w:val="000000"/>
          <w:sz w:val="26"/>
          <w:szCs w:val="26"/>
          <w:rtl/>
        </w:rPr>
        <w:t>منابع</w:t>
      </w:r>
    </w:p>
    <w:p w14:paraId="6392483C" w14:textId="77777777" w:rsidR="004270F1" w:rsidRDefault="00000000">
      <w:pPr>
        <w:bidi/>
        <w:spacing w:after="100"/>
      </w:pPr>
      <w:r>
        <w:rPr>
          <w:b/>
          <w:bCs/>
          <w:sz w:val="24"/>
          <w:szCs w:val="24"/>
          <w:rtl/>
        </w:rPr>
        <w:t>الف) منابع فارسی</w:t>
      </w:r>
    </w:p>
    <w:p w14:paraId="7DEA01BB" w14:textId="77777777" w:rsidR="004270F1" w:rsidRDefault="00000000">
      <w:pPr>
        <w:bidi/>
        <w:spacing w:after="60"/>
        <w:ind w:right="431" w:hanging="431"/>
        <w:jc w:val="both"/>
      </w:pPr>
      <w:r>
        <w:rPr>
          <w:sz w:val="21"/>
          <w:szCs w:val="21"/>
          <w:rtl/>
        </w:rPr>
        <w:t>افتخاری، اصغر (۱۳۹۲). سیاست خارجی جمهوری اسلامی ایران: مبانی و جهت‌گیری‌ها. تهران: پژوهشگاه علوم انسانی و مطالعات فرهنگی.</w:t>
      </w:r>
    </w:p>
    <w:p w14:paraId="15515E45" w14:textId="77777777" w:rsidR="004270F1" w:rsidRDefault="00000000">
      <w:pPr>
        <w:bidi/>
        <w:spacing w:after="60"/>
        <w:ind w:right="431" w:hanging="431"/>
        <w:jc w:val="both"/>
      </w:pPr>
      <w:r>
        <w:rPr>
          <w:sz w:val="21"/>
          <w:szCs w:val="21"/>
          <w:rtl/>
        </w:rPr>
        <w:t>حاجی‌یوسفی، امیرمحمد (۱۳۸۴). سیاست خارجی جمهوری اسلامی ایران در پرتو تحولات منطقه‌ای. تهران: دفتر مطالعات سیاسی و بین‌المللی وزارت امور خارجه.</w:t>
      </w:r>
    </w:p>
    <w:p w14:paraId="6D9A2FF1" w14:textId="77777777" w:rsidR="004270F1" w:rsidRDefault="00000000">
      <w:pPr>
        <w:bidi/>
        <w:spacing w:after="60"/>
        <w:ind w:right="431" w:hanging="431"/>
        <w:jc w:val="both"/>
      </w:pPr>
      <w:r>
        <w:rPr>
          <w:sz w:val="21"/>
          <w:szCs w:val="21"/>
          <w:rtl/>
        </w:rPr>
        <w:t>حسینی‌زاده، سیدمحمدعلی (۱۳۸۶). اسلام سیاسی در ایران. قم: انتشارات دانشگاه مفید.</w:t>
      </w:r>
    </w:p>
    <w:p w14:paraId="4F2E1734" w14:textId="77777777" w:rsidR="004270F1" w:rsidRDefault="00000000">
      <w:pPr>
        <w:bidi/>
        <w:spacing w:after="60"/>
        <w:ind w:right="431" w:hanging="431"/>
        <w:jc w:val="both"/>
      </w:pPr>
      <w:r>
        <w:rPr>
          <w:sz w:val="21"/>
          <w:szCs w:val="21"/>
          <w:rtl/>
        </w:rPr>
        <w:t>دهقانی فیروزآبادی، سیدجلال (۱۳۹۰). سیاست خارجی جمهوری اسلامی ایران. تهران: سازمان مطالعه و تدوین کتب علوم انسانی دانشگاه‌ها (سمت).</w:t>
      </w:r>
    </w:p>
    <w:p w14:paraId="363CFA09" w14:textId="77777777" w:rsidR="004270F1" w:rsidRDefault="00000000">
      <w:pPr>
        <w:bidi/>
        <w:spacing w:after="60"/>
        <w:ind w:right="431" w:hanging="431"/>
        <w:jc w:val="both"/>
      </w:pPr>
      <w:r>
        <w:rPr>
          <w:sz w:val="21"/>
          <w:szCs w:val="21"/>
          <w:rtl/>
        </w:rPr>
        <w:t>دهقانی فیروزآبادی، سیدجلال (۱۳۹۱). «تحول گفتمانی در سیاست خارجی جمهوری اسلامی ایران». فصلنامه سیاست خارجی، دوره ۲۶.</w:t>
      </w:r>
    </w:p>
    <w:p w14:paraId="5C51046F" w14:textId="77777777" w:rsidR="004270F1" w:rsidRDefault="00000000">
      <w:pPr>
        <w:bidi/>
        <w:spacing w:after="60"/>
        <w:ind w:right="431" w:hanging="431"/>
        <w:jc w:val="both"/>
      </w:pPr>
      <w:r>
        <w:rPr>
          <w:sz w:val="21"/>
          <w:szCs w:val="21"/>
          <w:rtl/>
        </w:rPr>
        <w:t>سریع‌القلم، محمود (۱۳۸۰). روش تحقیق در علوم سیاسی و روابط بین‌الملل. تهران: نشر فرزان روز.</w:t>
      </w:r>
    </w:p>
    <w:p w14:paraId="2B23F602" w14:textId="77777777" w:rsidR="004270F1" w:rsidRDefault="00000000">
      <w:pPr>
        <w:bidi/>
        <w:spacing w:after="60"/>
        <w:ind w:right="431" w:hanging="431"/>
        <w:jc w:val="both"/>
      </w:pPr>
      <w:r>
        <w:rPr>
          <w:sz w:val="21"/>
          <w:szCs w:val="21"/>
          <w:rtl/>
        </w:rPr>
        <w:t>سلطانی، سیدعلی‌اصغر (۱۳۸۴). قدرت، گفتمان و زبان: سازوکارهای جریان قدرت در جمهوری اسلامی ایران. تهران: نشر نی.</w:t>
      </w:r>
    </w:p>
    <w:p w14:paraId="1DA182D8" w14:textId="77777777" w:rsidR="004270F1" w:rsidRDefault="00000000">
      <w:pPr>
        <w:bidi/>
        <w:spacing w:after="60"/>
        <w:ind w:right="431" w:hanging="431"/>
        <w:jc w:val="both"/>
      </w:pPr>
      <w:r>
        <w:rPr>
          <w:sz w:val="21"/>
          <w:szCs w:val="21"/>
          <w:rtl/>
        </w:rPr>
        <w:t>کسرایی، محمدسالار و پوزش شیرازی، علی (۱۳۸۸). «نظریه گفتمان لاکلا و موفه؛ ابزاری کارآمد در فهم و تبیین پدیده‌های سیاسی». فصلنامه سیاست، مجله دانشکده حقوق و علوم سیاسی دانشگاه تهران، دوره ۳۹، شماره ۳، صص ۳۳۹-۳۶۰.</w:t>
      </w:r>
    </w:p>
    <w:p w14:paraId="58256352" w14:textId="77777777" w:rsidR="004270F1" w:rsidRDefault="00000000">
      <w:pPr>
        <w:bidi/>
        <w:spacing w:after="60"/>
        <w:ind w:right="431" w:hanging="431"/>
        <w:jc w:val="both"/>
      </w:pPr>
      <w:r>
        <w:rPr>
          <w:sz w:val="21"/>
          <w:szCs w:val="21"/>
          <w:rtl/>
        </w:rPr>
        <w:t>مشیرزاده، حمیرا (۱۳۸۴). تحول در نظریه‌های روابط بین‌الملل. تهران: سازمان مطالعه و تدوین کتب علوم انسانی دانشگاه‌ها (سمت).</w:t>
      </w:r>
    </w:p>
    <w:p w14:paraId="2D602C3D" w14:textId="77777777" w:rsidR="004270F1" w:rsidRDefault="00000000">
      <w:pPr>
        <w:bidi/>
        <w:spacing w:after="60"/>
        <w:ind w:right="431" w:hanging="431"/>
        <w:jc w:val="both"/>
      </w:pPr>
      <w:r>
        <w:rPr>
          <w:sz w:val="21"/>
          <w:szCs w:val="21"/>
          <w:rtl/>
        </w:rPr>
        <w:t>یورگنسن، ماریان و فیلیپس، لوئیز (۱۳۸۹). نظریه و روش در تحلیل گفتمان. ترجمه هادی جلیلی. تهران: نشر نی.</w:t>
      </w:r>
    </w:p>
    <w:p w14:paraId="5D8DE5C4" w14:textId="77777777" w:rsidR="004270F1" w:rsidRDefault="00000000">
      <w:pPr>
        <w:bidi/>
        <w:spacing w:after="100"/>
      </w:pPr>
      <w:r>
        <w:rPr>
          <w:b/>
          <w:bCs/>
          <w:sz w:val="24"/>
          <w:szCs w:val="24"/>
          <w:rtl/>
        </w:rPr>
        <w:t>ب) منابع انگلیسی</w:t>
      </w:r>
    </w:p>
    <w:p w14:paraId="27B48697" w14:textId="77777777" w:rsidR="004270F1" w:rsidRDefault="00000000">
      <w:pPr>
        <w:spacing w:after="60"/>
        <w:ind w:left="431" w:hanging="431"/>
      </w:pPr>
      <w:r>
        <w:rPr>
          <w:rFonts w:ascii="Times New Roman" w:eastAsia="Times New Roman" w:hAnsi="Times New Roman" w:cs="Times New Roman"/>
          <w:sz w:val="21"/>
          <w:szCs w:val="21"/>
        </w:rPr>
        <w:t>Acharya, A. (2014). The End of American World Order. Cambridge: Polity Press.</w:t>
      </w:r>
    </w:p>
    <w:p w14:paraId="539C2865" w14:textId="77777777" w:rsidR="004270F1" w:rsidRDefault="00000000">
      <w:pPr>
        <w:spacing w:after="60"/>
        <w:ind w:left="431" w:hanging="431"/>
      </w:pPr>
      <w:r>
        <w:rPr>
          <w:rFonts w:ascii="Times New Roman" w:eastAsia="Times New Roman" w:hAnsi="Times New Roman" w:cs="Times New Roman"/>
          <w:sz w:val="21"/>
          <w:szCs w:val="21"/>
        </w:rPr>
        <w:t>Acharya, A. (2017). After liberal hegemony: The advent of a multiplex world order. Ethics &amp; International Affairs, 31(3), 271-285.</w:t>
      </w:r>
    </w:p>
    <w:p w14:paraId="28C686DB" w14:textId="77777777" w:rsidR="004270F1" w:rsidRDefault="00000000">
      <w:pPr>
        <w:spacing w:after="60"/>
        <w:ind w:left="431" w:hanging="431"/>
      </w:pPr>
      <w:r>
        <w:rPr>
          <w:rFonts w:ascii="Times New Roman" w:eastAsia="Times New Roman" w:hAnsi="Times New Roman" w:cs="Times New Roman"/>
          <w:sz w:val="21"/>
          <w:szCs w:val="21"/>
        </w:rPr>
        <w:t>Adib-Moghaddam, A. (2008). Iran in World Politics: The Question of the Islamic Republic. London: Hurst.</w:t>
      </w:r>
    </w:p>
    <w:p w14:paraId="63304311" w14:textId="77777777" w:rsidR="004270F1" w:rsidRDefault="00000000">
      <w:pPr>
        <w:spacing w:after="60"/>
        <w:ind w:left="431" w:hanging="431"/>
      </w:pPr>
      <w:r>
        <w:rPr>
          <w:rFonts w:ascii="Times New Roman" w:eastAsia="Times New Roman" w:hAnsi="Times New Roman" w:cs="Times New Roman"/>
          <w:sz w:val="21"/>
          <w:szCs w:val="21"/>
        </w:rPr>
        <w:t>Barnett, M. (1999). Culture, strategy and foreign policy change: Israel's road to Oslo. European Journal of International Relations, 5(1), 5-36.</w:t>
      </w:r>
    </w:p>
    <w:p w14:paraId="4D89D644" w14:textId="77777777" w:rsidR="004270F1" w:rsidRDefault="00000000">
      <w:pPr>
        <w:spacing w:after="60"/>
        <w:ind w:left="431" w:hanging="431"/>
      </w:pPr>
      <w:r>
        <w:rPr>
          <w:rFonts w:ascii="Times New Roman" w:eastAsia="Times New Roman" w:hAnsi="Times New Roman" w:cs="Times New Roman"/>
          <w:sz w:val="21"/>
          <w:szCs w:val="21"/>
        </w:rPr>
        <w:lastRenderedPageBreak/>
        <w:t>Buzan, B., &amp; Lawson, G. (2015). The Global Transformation: History, Modernity and the Making of International Relations. Cambridge: Cambridge University Press.</w:t>
      </w:r>
    </w:p>
    <w:p w14:paraId="3BEDC88B" w14:textId="77777777" w:rsidR="004270F1" w:rsidRDefault="00000000">
      <w:pPr>
        <w:spacing w:after="60"/>
        <w:ind w:left="431" w:hanging="431"/>
      </w:pPr>
      <w:r>
        <w:rPr>
          <w:rFonts w:ascii="Times New Roman" w:eastAsia="Times New Roman" w:hAnsi="Times New Roman" w:cs="Times New Roman"/>
          <w:sz w:val="21"/>
          <w:szCs w:val="21"/>
        </w:rPr>
        <w:t>Campbell, D. (1998). Writing Security: United States Foreign Policy and the Politics of Identity (Rev. ed.). Minneapolis: University of Minnesota Press.</w:t>
      </w:r>
    </w:p>
    <w:p w14:paraId="2C334E2B" w14:textId="77777777" w:rsidR="004270F1" w:rsidRDefault="00000000">
      <w:pPr>
        <w:spacing w:after="60"/>
        <w:ind w:left="431" w:hanging="431"/>
      </w:pPr>
      <w:r>
        <w:rPr>
          <w:rFonts w:ascii="Times New Roman" w:eastAsia="Times New Roman" w:hAnsi="Times New Roman" w:cs="Times New Roman"/>
          <w:sz w:val="21"/>
          <w:szCs w:val="21"/>
        </w:rPr>
        <w:t>Doty, R. L. (1993). Foreign policy as social construction: A post-positivist analysis of U.S. counterinsurgency policy in the Philippines. International Studies Quarterly, 37(3), 297-320.</w:t>
      </w:r>
    </w:p>
    <w:p w14:paraId="474AA103" w14:textId="77777777" w:rsidR="004270F1" w:rsidRDefault="00000000">
      <w:pPr>
        <w:spacing w:after="60"/>
        <w:ind w:left="431" w:hanging="431"/>
      </w:pPr>
      <w:r>
        <w:rPr>
          <w:rFonts w:ascii="Times New Roman" w:eastAsia="Times New Roman" w:hAnsi="Times New Roman" w:cs="Times New Roman"/>
          <w:sz w:val="21"/>
          <w:szCs w:val="21"/>
        </w:rPr>
        <w:t>Fairclough, N. (1992). Discourse and Social Change. Cambridge: Polity Press.</w:t>
      </w:r>
    </w:p>
    <w:p w14:paraId="150FBE51" w14:textId="77777777" w:rsidR="004270F1" w:rsidRDefault="00000000">
      <w:pPr>
        <w:spacing w:after="60"/>
        <w:ind w:left="431" w:hanging="431"/>
      </w:pPr>
      <w:r>
        <w:rPr>
          <w:rFonts w:ascii="Times New Roman" w:eastAsia="Times New Roman" w:hAnsi="Times New Roman" w:cs="Times New Roman"/>
          <w:sz w:val="21"/>
          <w:szCs w:val="21"/>
        </w:rPr>
        <w:t xml:space="preserve">Fairclough, N. (2003). </w:t>
      </w:r>
      <w:proofErr w:type="spellStart"/>
      <w:r>
        <w:rPr>
          <w:rFonts w:ascii="Times New Roman" w:eastAsia="Times New Roman" w:hAnsi="Times New Roman" w:cs="Times New Roman"/>
          <w:sz w:val="21"/>
          <w:szCs w:val="21"/>
        </w:rPr>
        <w:t>Analysing</w:t>
      </w:r>
      <w:proofErr w:type="spellEnd"/>
      <w:r>
        <w:rPr>
          <w:rFonts w:ascii="Times New Roman" w:eastAsia="Times New Roman" w:hAnsi="Times New Roman" w:cs="Times New Roman"/>
          <w:sz w:val="21"/>
          <w:szCs w:val="21"/>
        </w:rPr>
        <w:t xml:space="preserve"> Discourse: Textual Analysis for Social Research. London: Routledge.</w:t>
      </w:r>
    </w:p>
    <w:p w14:paraId="1804F52E" w14:textId="77777777" w:rsidR="004270F1" w:rsidRDefault="00000000">
      <w:pPr>
        <w:spacing w:after="60"/>
        <w:ind w:left="431" w:hanging="431"/>
      </w:pPr>
      <w:r>
        <w:rPr>
          <w:rFonts w:ascii="Times New Roman" w:eastAsia="Times New Roman" w:hAnsi="Times New Roman" w:cs="Times New Roman"/>
          <w:sz w:val="21"/>
          <w:szCs w:val="21"/>
        </w:rPr>
        <w:t>Hansen, L. (2006). Security as Practice: Discourse Analysis and the Bosnian War. London: Routledge.</w:t>
      </w:r>
    </w:p>
    <w:p w14:paraId="113EB1B1" w14:textId="77777777" w:rsidR="004270F1" w:rsidRDefault="00000000">
      <w:pPr>
        <w:spacing w:after="60"/>
        <w:ind w:left="431" w:hanging="431"/>
      </w:pPr>
      <w:r>
        <w:rPr>
          <w:rFonts w:ascii="Times New Roman" w:eastAsia="Times New Roman" w:hAnsi="Times New Roman" w:cs="Times New Roman"/>
          <w:sz w:val="21"/>
          <w:szCs w:val="21"/>
        </w:rPr>
        <w:t>Hopf, T. (1998). The promise of constructivism in international relations theory. International Security, 23(1), 171-200.</w:t>
      </w:r>
    </w:p>
    <w:p w14:paraId="2D338DD2" w14:textId="77777777" w:rsidR="004270F1" w:rsidRDefault="00000000">
      <w:pPr>
        <w:spacing w:after="60"/>
        <w:ind w:left="431" w:hanging="431"/>
      </w:pPr>
      <w:r>
        <w:rPr>
          <w:rFonts w:ascii="Times New Roman" w:eastAsia="Times New Roman" w:hAnsi="Times New Roman" w:cs="Times New Roman"/>
          <w:sz w:val="21"/>
          <w:szCs w:val="21"/>
        </w:rPr>
        <w:t>Howarth, D. (2000). Discourse. Buckingham: Open University Press.</w:t>
      </w:r>
    </w:p>
    <w:p w14:paraId="2DD485CF" w14:textId="77777777" w:rsidR="004270F1" w:rsidRDefault="00000000">
      <w:pPr>
        <w:spacing w:after="60"/>
        <w:ind w:left="431" w:hanging="431"/>
      </w:pPr>
      <w:r>
        <w:rPr>
          <w:rFonts w:ascii="Times New Roman" w:eastAsia="Times New Roman" w:hAnsi="Times New Roman" w:cs="Times New Roman"/>
          <w:sz w:val="21"/>
          <w:szCs w:val="21"/>
        </w:rPr>
        <w:t>Howarth, D., &amp; Stavrakakis, Y. (2000). Introducing discourse theory and political analysis. In D. Howarth, A. J. Norval, &amp; Y. Stavrakakis (Eds.), Discourse Theory and Political Analysis (pp. 1-23). Manchester: Manchester University Press.</w:t>
      </w:r>
    </w:p>
    <w:p w14:paraId="4D1E2BD7" w14:textId="77777777" w:rsidR="004270F1" w:rsidRDefault="00000000">
      <w:pPr>
        <w:spacing w:after="60"/>
        <w:ind w:left="431" w:hanging="431"/>
      </w:pPr>
      <w:r>
        <w:rPr>
          <w:rFonts w:ascii="Times New Roman" w:eastAsia="Times New Roman" w:hAnsi="Times New Roman" w:cs="Times New Roman"/>
          <w:sz w:val="21"/>
          <w:szCs w:val="21"/>
        </w:rPr>
        <w:t>Ikenberry, G. J. (2018). The end of liberal international order? International Affairs, 94(1), 7-23.</w:t>
      </w:r>
    </w:p>
    <w:p w14:paraId="1984C88D" w14:textId="77777777" w:rsidR="004270F1" w:rsidRDefault="00000000">
      <w:pPr>
        <w:spacing w:after="60"/>
        <w:ind w:left="431" w:hanging="431"/>
      </w:pPr>
      <w:r>
        <w:rPr>
          <w:rFonts w:ascii="Times New Roman" w:eastAsia="Times New Roman" w:hAnsi="Times New Roman" w:cs="Times New Roman"/>
          <w:sz w:val="21"/>
          <w:szCs w:val="21"/>
        </w:rPr>
        <w:t>Juneau, T. (2015). Squandered Opportunity: Neoclassical Realism and Iranian Foreign Policy. Stanford: Stanford University Press.</w:t>
      </w:r>
    </w:p>
    <w:p w14:paraId="160E7CDA" w14:textId="77777777" w:rsidR="004270F1" w:rsidRDefault="00000000">
      <w:pPr>
        <w:spacing w:after="60"/>
        <w:ind w:left="431" w:hanging="431"/>
      </w:pPr>
      <w:proofErr w:type="spellStart"/>
      <w:r>
        <w:rPr>
          <w:rFonts w:ascii="Times New Roman" w:eastAsia="Times New Roman" w:hAnsi="Times New Roman" w:cs="Times New Roman"/>
          <w:sz w:val="21"/>
          <w:szCs w:val="21"/>
        </w:rPr>
        <w:t>Laclau</w:t>
      </w:r>
      <w:proofErr w:type="spellEnd"/>
      <w:r>
        <w:rPr>
          <w:rFonts w:ascii="Times New Roman" w:eastAsia="Times New Roman" w:hAnsi="Times New Roman" w:cs="Times New Roman"/>
          <w:sz w:val="21"/>
          <w:szCs w:val="21"/>
        </w:rPr>
        <w:t>, E. (1990). New Reflections on the Revolution of Our Time. London: Verso.</w:t>
      </w:r>
    </w:p>
    <w:p w14:paraId="44D87071" w14:textId="77777777" w:rsidR="004270F1" w:rsidRDefault="00000000">
      <w:pPr>
        <w:spacing w:after="60"/>
        <w:ind w:left="431" w:hanging="431"/>
      </w:pPr>
      <w:proofErr w:type="spellStart"/>
      <w:r>
        <w:rPr>
          <w:rFonts w:ascii="Times New Roman" w:eastAsia="Times New Roman" w:hAnsi="Times New Roman" w:cs="Times New Roman"/>
          <w:sz w:val="21"/>
          <w:szCs w:val="21"/>
        </w:rPr>
        <w:t>Laclau</w:t>
      </w:r>
      <w:proofErr w:type="spellEnd"/>
      <w:r>
        <w:rPr>
          <w:rFonts w:ascii="Times New Roman" w:eastAsia="Times New Roman" w:hAnsi="Times New Roman" w:cs="Times New Roman"/>
          <w:sz w:val="21"/>
          <w:szCs w:val="21"/>
        </w:rPr>
        <w:t>, E. (1996). Emancipation(s). London: Verso.</w:t>
      </w:r>
    </w:p>
    <w:p w14:paraId="3E5E7033" w14:textId="77777777" w:rsidR="004270F1" w:rsidRDefault="00000000">
      <w:pPr>
        <w:spacing w:after="60"/>
        <w:ind w:left="431" w:hanging="431"/>
      </w:pPr>
      <w:proofErr w:type="spellStart"/>
      <w:r>
        <w:rPr>
          <w:rFonts w:ascii="Times New Roman" w:eastAsia="Times New Roman" w:hAnsi="Times New Roman" w:cs="Times New Roman"/>
          <w:sz w:val="21"/>
          <w:szCs w:val="21"/>
        </w:rPr>
        <w:t>Laclau</w:t>
      </w:r>
      <w:proofErr w:type="spellEnd"/>
      <w:r>
        <w:rPr>
          <w:rFonts w:ascii="Times New Roman" w:eastAsia="Times New Roman" w:hAnsi="Times New Roman" w:cs="Times New Roman"/>
          <w:sz w:val="21"/>
          <w:szCs w:val="21"/>
        </w:rPr>
        <w:t>, E. (2005). On Populist Reason. London: Verso.</w:t>
      </w:r>
    </w:p>
    <w:p w14:paraId="48032380" w14:textId="77777777" w:rsidR="004270F1" w:rsidRDefault="00000000">
      <w:pPr>
        <w:spacing w:after="60"/>
        <w:ind w:left="431" w:hanging="431"/>
      </w:pPr>
      <w:proofErr w:type="spellStart"/>
      <w:r>
        <w:rPr>
          <w:rFonts w:ascii="Times New Roman" w:eastAsia="Times New Roman" w:hAnsi="Times New Roman" w:cs="Times New Roman"/>
          <w:sz w:val="21"/>
          <w:szCs w:val="21"/>
        </w:rPr>
        <w:t>Laclau</w:t>
      </w:r>
      <w:proofErr w:type="spellEnd"/>
      <w:r>
        <w:rPr>
          <w:rFonts w:ascii="Times New Roman" w:eastAsia="Times New Roman" w:hAnsi="Times New Roman" w:cs="Times New Roman"/>
          <w:sz w:val="21"/>
          <w:szCs w:val="21"/>
        </w:rPr>
        <w:t xml:space="preserve">, E., &amp; </w:t>
      </w:r>
      <w:proofErr w:type="spellStart"/>
      <w:r>
        <w:rPr>
          <w:rFonts w:ascii="Times New Roman" w:eastAsia="Times New Roman" w:hAnsi="Times New Roman" w:cs="Times New Roman"/>
          <w:sz w:val="21"/>
          <w:szCs w:val="21"/>
        </w:rPr>
        <w:t>Mouffe</w:t>
      </w:r>
      <w:proofErr w:type="spellEnd"/>
      <w:r>
        <w:rPr>
          <w:rFonts w:ascii="Times New Roman" w:eastAsia="Times New Roman" w:hAnsi="Times New Roman" w:cs="Times New Roman"/>
          <w:sz w:val="21"/>
          <w:szCs w:val="21"/>
        </w:rPr>
        <w:t>, C. (2001). Hegemony and Socialist Strategy: Towards a Radical Democratic Politics (2nd ed.). London: Verso.</w:t>
      </w:r>
    </w:p>
    <w:p w14:paraId="3B75D093" w14:textId="77777777" w:rsidR="004270F1" w:rsidRDefault="00000000">
      <w:pPr>
        <w:spacing w:after="60"/>
        <w:ind w:left="431" w:hanging="431"/>
      </w:pPr>
      <w:r>
        <w:rPr>
          <w:rFonts w:ascii="Times New Roman" w:eastAsia="Times New Roman" w:hAnsi="Times New Roman" w:cs="Times New Roman"/>
          <w:sz w:val="21"/>
          <w:szCs w:val="21"/>
        </w:rPr>
        <w:t>Milliken, J. (1999). The study of discourse in international relations: A critique of research and methods. European Journal of International Relations, 5(2), 225-254.</w:t>
      </w:r>
    </w:p>
    <w:p w14:paraId="31CF6089" w14:textId="77777777" w:rsidR="004270F1" w:rsidRDefault="00000000">
      <w:pPr>
        <w:spacing w:after="60"/>
        <w:ind w:left="431" w:hanging="431"/>
      </w:pPr>
      <w:proofErr w:type="spellStart"/>
      <w:r>
        <w:rPr>
          <w:rFonts w:ascii="Times New Roman" w:eastAsia="Times New Roman" w:hAnsi="Times New Roman" w:cs="Times New Roman"/>
          <w:sz w:val="21"/>
          <w:szCs w:val="21"/>
        </w:rPr>
        <w:t>Mouffe</w:t>
      </w:r>
      <w:proofErr w:type="spellEnd"/>
      <w:r>
        <w:rPr>
          <w:rFonts w:ascii="Times New Roman" w:eastAsia="Times New Roman" w:hAnsi="Times New Roman" w:cs="Times New Roman"/>
          <w:sz w:val="21"/>
          <w:szCs w:val="21"/>
        </w:rPr>
        <w:t>, C. (2005). On the Political. London: Routledge.</w:t>
      </w:r>
    </w:p>
    <w:p w14:paraId="7BB72608" w14:textId="77777777" w:rsidR="004270F1" w:rsidRDefault="00000000">
      <w:pPr>
        <w:spacing w:after="60"/>
        <w:ind w:left="431" w:hanging="431"/>
      </w:pPr>
      <w:r>
        <w:rPr>
          <w:rFonts w:ascii="Times New Roman" w:eastAsia="Times New Roman" w:hAnsi="Times New Roman" w:cs="Times New Roman"/>
          <w:sz w:val="21"/>
          <w:szCs w:val="21"/>
        </w:rPr>
        <w:t>Neumann, I. B. (1999). Uses of the Other: "The East" in European Identity Formation. Minneapolis: University of Minnesota Press.</w:t>
      </w:r>
    </w:p>
    <w:p w14:paraId="3C3AFEF0" w14:textId="77777777" w:rsidR="004270F1" w:rsidRDefault="00000000">
      <w:pPr>
        <w:spacing w:after="60"/>
        <w:ind w:left="431" w:hanging="431"/>
      </w:pPr>
      <w:r>
        <w:rPr>
          <w:rFonts w:ascii="Times New Roman" w:eastAsia="Times New Roman" w:hAnsi="Times New Roman" w:cs="Times New Roman"/>
          <w:sz w:val="21"/>
          <w:szCs w:val="21"/>
        </w:rPr>
        <w:t>Ramazani, R. K. (2004). Ideology and pragmatism in Iran's foreign policy. Middle East Journal, 58(4), 549-559.</w:t>
      </w:r>
    </w:p>
    <w:p w14:paraId="3E5304BF" w14:textId="77777777" w:rsidR="004270F1" w:rsidRDefault="00000000">
      <w:pPr>
        <w:spacing w:after="60"/>
        <w:ind w:left="431" w:hanging="431"/>
      </w:pPr>
      <w:r>
        <w:rPr>
          <w:rFonts w:ascii="Times New Roman" w:eastAsia="Times New Roman" w:hAnsi="Times New Roman" w:cs="Times New Roman"/>
          <w:sz w:val="21"/>
          <w:szCs w:val="21"/>
        </w:rPr>
        <w:t>Tabatabai, A. M. (2020). No Conquest, No Defeat: Iran's National Security Strategy. London: Hurst.</w:t>
      </w:r>
    </w:p>
    <w:p w14:paraId="11E9D8C6" w14:textId="77777777" w:rsidR="004270F1" w:rsidRDefault="00000000">
      <w:pPr>
        <w:spacing w:after="60"/>
        <w:ind w:left="431" w:hanging="431"/>
      </w:pPr>
      <w:r>
        <w:rPr>
          <w:rFonts w:ascii="Times New Roman" w:eastAsia="Times New Roman" w:hAnsi="Times New Roman" w:cs="Times New Roman"/>
          <w:sz w:val="21"/>
          <w:szCs w:val="21"/>
        </w:rPr>
        <w:t xml:space="preserve">Torfing, J. (1999). New Theories of Discourse: </w:t>
      </w:r>
      <w:proofErr w:type="spellStart"/>
      <w:r>
        <w:rPr>
          <w:rFonts w:ascii="Times New Roman" w:eastAsia="Times New Roman" w:hAnsi="Times New Roman" w:cs="Times New Roman"/>
          <w:sz w:val="21"/>
          <w:szCs w:val="21"/>
        </w:rPr>
        <w:t>Laclau</w:t>
      </w:r>
      <w:proofErr w:type="spellEnd"/>
      <w:r>
        <w:rPr>
          <w:rFonts w:ascii="Times New Roman" w:eastAsia="Times New Roman" w:hAnsi="Times New Roman" w:cs="Times New Roman"/>
          <w:sz w:val="21"/>
          <w:szCs w:val="21"/>
        </w:rPr>
        <w:t xml:space="preserve">, </w:t>
      </w:r>
      <w:proofErr w:type="spellStart"/>
      <w:r>
        <w:rPr>
          <w:rFonts w:ascii="Times New Roman" w:eastAsia="Times New Roman" w:hAnsi="Times New Roman" w:cs="Times New Roman"/>
          <w:sz w:val="21"/>
          <w:szCs w:val="21"/>
        </w:rPr>
        <w:t>Mouffe</w:t>
      </w:r>
      <w:proofErr w:type="spellEnd"/>
      <w:r>
        <w:rPr>
          <w:rFonts w:ascii="Times New Roman" w:eastAsia="Times New Roman" w:hAnsi="Times New Roman" w:cs="Times New Roman"/>
          <w:sz w:val="21"/>
          <w:szCs w:val="21"/>
        </w:rPr>
        <w:t xml:space="preserve"> and Zizek. Oxford: Blackwell.</w:t>
      </w:r>
    </w:p>
    <w:p w14:paraId="532DDF0C" w14:textId="77777777" w:rsidR="004270F1" w:rsidRDefault="00000000">
      <w:pPr>
        <w:spacing w:after="60"/>
        <w:ind w:left="431" w:hanging="431"/>
      </w:pPr>
      <w:r>
        <w:rPr>
          <w:rFonts w:ascii="Times New Roman" w:eastAsia="Times New Roman" w:hAnsi="Times New Roman" w:cs="Times New Roman"/>
          <w:sz w:val="21"/>
          <w:szCs w:val="21"/>
        </w:rPr>
        <w:t>Wæver, O. (2002). Identity, communities and foreign policy: Discourse analysis as foreign policy theory. In L. Hansen &amp; O. Wæver (Eds.), European Integration and National Identity (pp. 20-49). London: Routledge.</w:t>
      </w:r>
    </w:p>
    <w:p w14:paraId="21D2B544" w14:textId="77777777" w:rsidR="004270F1" w:rsidRDefault="00000000">
      <w:pPr>
        <w:spacing w:after="60"/>
        <w:ind w:left="431" w:hanging="431"/>
      </w:pPr>
      <w:proofErr w:type="spellStart"/>
      <w:r>
        <w:rPr>
          <w:rFonts w:ascii="Times New Roman" w:eastAsia="Times New Roman" w:hAnsi="Times New Roman" w:cs="Times New Roman"/>
          <w:sz w:val="21"/>
          <w:szCs w:val="21"/>
        </w:rPr>
        <w:t>Warnaar</w:t>
      </w:r>
      <w:proofErr w:type="spellEnd"/>
      <w:r>
        <w:rPr>
          <w:rFonts w:ascii="Times New Roman" w:eastAsia="Times New Roman" w:hAnsi="Times New Roman" w:cs="Times New Roman"/>
          <w:sz w:val="21"/>
          <w:szCs w:val="21"/>
        </w:rPr>
        <w:t>, M. (2013). Iranian Foreign Policy during Ahmadinejad: Ideology and Actions. New York: Palgrave Macmillan.</w:t>
      </w:r>
    </w:p>
    <w:p w14:paraId="2B80A661" w14:textId="77777777" w:rsidR="004270F1" w:rsidRDefault="00000000">
      <w:pPr>
        <w:spacing w:after="60"/>
        <w:ind w:left="431" w:hanging="431"/>
      </w:pPr>
      <w:r>
        <w:rPr>
          <w:rFonts w:ascii="Times New Roman" w:eastAsia="Times New Roman" w:hAnsi="Times New Roman" w:cs="Times New Roman"/>
          <w:sz w:val="21"/>
          <w:szCs w:val="21"/>
        </w:rPr>
        <w:t>Wendt, A. (1992). Anarchy is what states make of it: The social construction of power politics. International Organization, 46(2), 391-425.</w:t>
      </w:r>
    </w:p>
    <w:p w14:paraId="017BA551" w14:textId="77777777" w:rsidR="004270F1" w:rsidRDefault="00000000">
      <w:pPr>
        <w:spacing w:after="60"/>
        <w:ind w:left="431" w:hanging="431"/>
      </w:pPr>
      <w:r>
        <w:rPr>
          <w:rFonts w:ascii="Times New Roman" w:eastAsia="Times New Roman" w:hAnsi="Times New Roman" w:cs="Times New Roman"/>
          <w:sz w:val="21"/>
          <w:szCs w:val="21"/>
        </w:rPr>
        <w:t>Wendt, A. (1999). Social Theory of International Politics. Cambridge: Cambridge University Press.</w:t>
      </w:r>
    </w:p>
    <w:p w14:paraId="7F81D23D" w14:textId="77777777" w:rsidR="004270F1" w:rsidRDefault="00000000">
      <w:pPr>
        <w:spacing w:after="60"/>
        <w:ind w:left="431" w:hanging="431"/>
      </w:pPr>
      <w:r>
        <w:rPr>
          <w:rFonts w:ascii="Times New Roman" w:eastAsia="Times New Roman" w:hAnsi="Times New Roman" w:cs="Times New Roman"/>
          <w:sz w:val="21"/>
          <w:szCs w:val="21"/>
        </w:rPr>
        <w:t>Zehfuss, M. (2002). Constructivism in International Relations: The Politics of Reality. Cambridge: Cambridge University Press.</w:t>
      </w:r>
    </w:p>
    <w:p w14:paraId="326B68BF" w14:textId="77777777" w:rsidR="004270F1" w:rsidRDefault="00000000">
      <w:pPr>
        <w:bidi/>
        <w:spacing w:after="100"/>
      </w:pPr>
      <w:r>
        <w:rPr>
          <w:b/>
          <w:bCs/>
          <w:sz w:val="24"/>
          <w:szCs w:val="24"/>
          <w:rtl/>
        </w:rPr>
        <w:lastRenderedPageBreak/>
        <w:t>ج) اسناد</w:t>
      </w:r>
    </w:p>
    <w:p w14:paraId="5D9E2CB2" w14:textId="77777777" w:rsidR="004270F1" w:rsidRDefault="00000000">
      <w:pPr>
        <w:spacing w:after="60"/>
        <w:ind w:left="431" w:hanging="431"/>
      </w:pPr>
      <w:r>
        <w:rPr>
          <w:rFonts w:ascii="Times New Roman" w:eastAsia="Times New Roman" w:hAnsi="Times New Roman" w:cs="Times New Roman"/>
          <w:sz w:val="21"/>
          <w:szCs w:val="21"/>
        </w:rPr>
        <w:t>United Nations General Assembly. (2021). Official records, seventy-sixth session, 3rd plenary meeting (A/76/PV.3). New York: United Nations.</w:t>
      </w:r>
    </w:p>
    <w:p w14:paraId="1825832E" w14:textId="77777777" w:rsidR="004270F1" w:rsidRDefault="00000000">
      <w:pPr>
        <w:spacing w:after="60"/>
        <w:ind w:left="431" w:hanging="431"/>
      </w:pPr>
      <w:r>
        <w:rPr>
          <w:rFonts w:ascii="Times New Roman" w:eastAsia="Times New Roman" w:hAnsi="Times New Roman" w:cs="Times New Roman"/>
          <w:sz w:val="21"/>
          <w:szCs w:val="21"/>
        </w:rPr>
        <w:t>United Nations General Assembly. (2022). Official records, seventy-seventh session, 6th plenary meeting (A/77/PV.6). New York: United Nations.</w:t>
      </w:r>
    </w:p>
    <w:sectPr w:rsidR="004270F1">
      <w:pgSz w:w="11906" w:h="16838"/>
      <w:pgMar w:top="1200" w:right="1300" w:bottom="1200" w:left="13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31867" w14:textId="77777777" w:rsidR="00C46B60" w:rsidRDefault="00C46B60" w:rsidP="000A62B3">
      <w:pPr>
        <w:spacing w:line="240" w:lineRule="auto"/>
      </w:pPr>
      <w:r>
        <w:separator/>
      </w:r>
    </w:p>
  </w:endnote>
  <w:endnote w:type="continuationSeparator" w:id="0">
    <w:p w14:paraId="1802D248" w14:textId="77777777" w:rsidR="00C46B60" w:rsidRDefault="00C46B60" w:rsidP="000A62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71246" w14:textId="77777777" w:rsidR="00C46B60" w:rsidRDefault="00C46B60" w:rsidP="000A62B3">
      <w:pPr>
        <w:spacing w:line="240" w:lineRule="auto"/>
      </w:pPr>
      <w:r>
        <w:separator/>
      </w:r>
    </w:p>
  </w:footnote>
  <w:footnote w:type="continuationSeparator" w:id="0">
    <w:p w14:paraId="66792E29" w14:textId="77777777" w:rsidR="00C46B60" w:rsidRDefault="00C46B60" w:rsidP="000A62B3">
      <w:pPr>
        <w:spacing w:line="240" w:lineRule="auto"/>
      </w:pPr>
      <w:r>
        <w:continuationSeparator/>
      </w:r>
    </w:p>
  </w:footnote>
  <w:footnote w:id="1">
    <w:p w14:paraId="5463CFB6" w14:textId="77777777" w:rsidR="000A62B3" w:rsidRDefault="000A62B3" w:rsidP="000A62B3">
      <w:pPr>
        <w:bidi/>
        <w:spacing w:after="40"/>
        <w:jc w:val="center"/>
      </w:pPr>
      <w:r>
        <w:rPr>
          <w:rStyle w:val="FootnoteReference"/>
        </w:rPr>
        <w:footnoteRef/>
      </w:r>
      <w:r>
        <w:t xml:space="preserve"> </w:t>
      </w:r>
      <w:r>
        <w:rPr>
          <w:rFonts w:hint="cs"/>
          <w:rtl/>
          <w:lang w:bidi="fa-IR"/>
        </w:rPr>
        <w:t xml:space="preserve"> </w:t>
      </w:r>
      <w:r>
        <w:rPr>
          <w:rFonts w:hint="cs"/>
          <w:sz w:val="20"/>
          <w:szCs w:val="20"/>
          <w:rtl/>
        </w:rPr>
        <w:t xml:space="preserve">نویسنده مسئول و </w:t>
      </w:r>
      <w:r>
        <w:rPr>
          <w:sz w:val="20"/>
          <w:szCs w:val="20"/>
          <w:rtl/>
        </w:rPr>
        <w:t>دانشیار روابط بین‌الملل</w:t>
      </w:r>
      <w:r>
        <w:rPr>
          <w:rFonts w:hint="cs"/>
          <w:sz w:val="20"/>
          <w:szCs w:val="20"/>
          <w:rtl/>
        </w:rPr>
        <w:t xml:space="preserve"> د</w:t>
      </w:r>
      <w:r>
        <w:rPr>
          <w:sz w:val="20"/>
          <w:szCs w:val="20"/>
          <w:rtl/>
        </w:rPr>
        <w:t>انشگاه خوارزمی، تهران، ایران</w:t>
      </w:r>
      <w:r w:rsidRPr="000A62B3">
        <w:rPr>
          <w:sz w:val="20"/>
          <w:szCs w:val="20"/>
          <w:rtl/>
        </w:rPr>
        <w:t xml:space="preserve"> </w:t>
      </w:r>
      <w:r>
        <w:rPr>
          <w:sz w:val="20"/>
          <w:szCs w:val="20"/>
          <w:rtl/>
        </w:rPr>
        <w:t>ghkarimi@khu.ac.ir</w:t>
      </w:r>
    </w:p>
    <w:p w14:paraId="67662C48" w14:textId="14245847" w:rsidR="000A62B3" w:rsidRDefault="000A62B3" w:rsidP="000A62B3">
      <w:pPr>
        <w:pStyle w:val="FootnoteText"/>
        <w:bidi/>
        <w:rPr>
          <w:rFonts w:hint="cs"/>
          <w:rtl/>
          <w:lang w:bidi="fa-IR"/>
        </w:rPr>
      </w:pPr>
    </w:p>
  </w:footnote>
  <w:footnote w:id="2">
    <w:p w14:paraId="1ED07D24" w14:textId="5DFD8FC3" w:rsidR="000A62B3" w:rsidRDefault="000A62B3" w:rsidP="000A62B3">
      <w:pPr>
        <w:pStyle w:val="FootnoteText"/>
        <w:bidi/>
        <w:rPr>
          <w:rFonts w:hint="cs"/>
          <w:rtl/>
          <w:lang w:bidi="fa-IR"/>
        </w:rPr>
      </w:pPr>
      <w:r>
        <w:rPr>
          <w:rStyle w:val="FootnoteReference"/>
        </w:rPr>
        <w:footnoteRef/>
      </w:r>
      <w:r>
        <w:t xml:space="preserve"> </w:t>
      </w:r>
      <w:r>
        <w:rPr>
          <w:rFonts w:hint="cs"/>
          <w:rtl/>
          <w:lang w:bidi="fa-IR"/>
        </w:rPr>
        <w:t xml:space="preserve"> </w:t>
      </w:r>
      <w:r>
        <w:rPr>
          <w:rtl/>
        </w:rPr>
        <w:t>دانشجوی دکتری روابط بین‌الملل</w:t>
      </w:r>
      <w:r>
        <w:rPr>
          <w:rFonts w:hint="cs"/>
          <w:rtl/>
        </w:rPr>
        <w:t xml:space="preserve"> </w:t>
      </w:r>
      <w:r>
        <w:rPr>
          <w:rtl/>
        </w:rPr>
        <w:t>دانشگاه خوارزمی، تهران، ایران.</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24272D"/>
    <w:multiLevelType w:val="hybridMultilevel"/>
    <w:tmpl w:val="46B036AA"/>
    <w:lvl w:ilvl="0" w:tplc="A53EB0B6">
      <w:start w:val="1"/>
      <w:numFmt w:val="bullet"/>
      <w:lvlText w:val="●"/>
      <w:lvlJc w:val="left"/>
      <w:pPr>
        <w:ind w:left="720" w:hanging="360"/>
      </w:pPr>
    </w:lvl>
    <w:lvl w:ilvl="1" w:tplc="ED8E1682">
      <w:start w:val="1"/>
      <w:numFmt w:val="bullet"/>
      <w:lvlText w:val="○"/>
      <w:lvlJc w:val="left"/>
      <w:pPr>
        <w:ind w:left="1440" w:hanging="360"/>
      </w:pPr>
    </w:lvl>
    <w:lvl w:ilvl="2" w:tplc="CCDC9BB2">
      <w:start w:val="1"/>
      <w:numFmt w:val="bullet"/>
      <w:lvlText w:val="■"/>
      <w:lvlJc w:val="left"/>
      <w:pPr>
        <w:ind w:left="2160" w:hanging="360"/>
      </w:pPr>
    </w:lvl>
    <w:lvl w:ilvl="3" w:tplc="A5DA247C">
      <w:start w:val="1"/>
      <w:numFmt w:val="bullet"/>
      <w:lvlText w:val="●"/>
      <w:lvlJc w:val="left"/>
      <w:pPr>
        <w:ind w:left="2880" w:hanging="360"/>
      </w:pPr>
    </w:lvl>
    <w:lvl w:ilvl="4" w:tplc="27FEB4C2">
      <w:start w:val="1"/>
      <w:numFmt w:val="bullet"/>
      <w:lvlText w:val="○"/>
      <w:lvlJc w:val="left"/>
      <w:pPr>
        <w:ind w:left="3600" w:hanging="360"/>
      </w:pPr>
    </w:lvl>
    <w:lvl w:ilvl="5" w:tplc="19425BD6">
      <w:start w:val="1"/>
      <w:numFmt w:val="bullet"/>
      <w:lvlText w:val="■"/>
      <w:lvlJc w:val="left"/>
      <w:pPr>
        <w:ind w:left="4320" w:hanging="360"/>
      </w:pPr>
    </w:lvl>
    <w:lvl w:ilvl="6" w:tplc="7FE4EA84">
      <w:start w:val="1"/>
      <w:numFmt w:val="bullet"/>
      <w:lvlText w:val="●"/>
      <w:lvlJc w:val="left"/>
      <w:pPr>
        <w:ind w:left="5040" w:hanging="360"/>
      </w:pPr>
    </w:lvl>
    <w:lvl w:ilvl="7" w:tplc="4712E158">
      <w:start w:val="1"/>
      <w:numFmt w:val="bullet"/>
      <w:lvlText w:val="●"/>
      <w:lvlJc w:val="left"/>
      <w:pPr>
        <w:ind w:left="5760" w:hanging="360"/>
      </w:pPr>
    </w:lvl>
    <w:lvl w:ilvl="8" w:tplc="72AA668C">
      <w:start w:val="1"/>
      <w:numFmt w:val="bullet"/>
      <w:lvlText w:val="●"/>
      <w:lvlJc w:val="left"/>
      <w:pPr>
        <w:ind w:left="6480" w:hanging="360"/>
      </w:pPr>
    </w:lvl>
  </w:abstractNum>
  <w:num w:numId="1" w16cid:durableId="52266747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0F1"/>
    <w:rsid w:val="000A62B3"/>
    <w:rsid w:val="004270F1"/>
    <w:rsid w:val="00784F65"/>
    <w:rsid w:val="00C46B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4:docId w14:val="52C31313"/>
  <w15:docId w15:val="{F5E2FA15-B71A-4C4D-B6A3-56A976E7D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sz w:val="22"/>
        <w:szCs w:val="22"/>
        <w:lang w:val="en-US" w:eastAsia="en-US" w:bidi="ar-SA"/>
      </w:rPr>
    </w:rPrDefault>
    <w:pPrDefault>
      <w:pPr>
        <w:spacing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pPr>
      <w:spacing w:line="240" w:lineRule="auto"/>
    </w:pPr>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pPr>
      <w:spacing w:line="240" w:lineRule="auto"/>
    </w:pPr>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FB737-AF28-4EDD-AD04-04AA06C8A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7837</Words>
  <Characters>44675</Characters>
  <Application>Microsoft Office Word</Application>
  <DocSecurity>0</DocSecurity>
  <Lines>372</Lines>
  <Paragraphs>104</Paragraphs>
  <ScaleCrop>false</ScaleCrop>
  <Company>Al-Qaisar Technologies</Company>
  <LinksUpToDate>false</LinksUpToDate>
  <CharactersWithSpaces>52408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SKY</cp:lastModifiedBy>
  <cp:revision>2</cp:revision>
  <dcterms:created xsi:type="dcterms:W3CDTF">2026-08-22T11:03:00Z</dcterms:created>
  <dcterms:modified xsi:type="dcterms:W3CDTF">2026-08-22T11:03:00Z</dcterms:modified>
</cp:coreProperties>
</file>